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1E" w:rsidRPr="00912C1E" w:rsidRDefault="00912C1E" w:rsidP="00912C1E">
      <w:pPr>
        <w:spacing w:after="0"/>
        <w:jc w:val="center"/>
        <w:rPr>
          <w:rFonts w:ascii="Times New Roman" w:hAnsi="Times New Roman" w:cs="Times New Roman"/>
          <w:b/>
          <w:sz w:val="32"/>
          <w:szCs w:val="24"/>
        </w:rPr>
      </w:pPr>
      <w:r w:rsidRPr="00912C1E">
        <w:rPr>
          <w:rFonts w:ascii="Times New Roman" w:hAnsi="Times New Roman" w:cs="Times New Roman"/>
          <w:b/>
          <w:sz w:val="32"/>
          <w:szCs w:val="24"/>
        </w:rPr>
        <w:t>CASE LAWS</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I:</w:t>
      </w:r>
      <w:r w:rsidRPr="00912C1E">
        <w:rPr>
          <w:rFonts w:ascii="Times New Roman" w:hAnsi="Times New Roman" w:cs="Times New Roman"/>
          <w:b/>
          <w:sz w:val="24"/>
          <w:szCs w:val="24"/>
        </w:rPr>
        <w:t xml:space="preserve">  </w:t>
      </w:r>
    </w:p>
    <w:p w:rsidR="00912C1E" w:rsidRDefault="00912C1E" w:rsidP="00912C1E">
      <w:pPr>
        <w:spacing w:after="0"/>
        <w:jc w:val="both"/>
        <w:rPr>
          <w:rFonts w:ascii="Times New Roman" w:hAnsi="Times New Roman" w:cs="Times New Roman"/>
          <w:b/>
          <w:i/>
          <w:sz w:val="24"/>
          <w:szCs w:val="24"/>
          <w:u w:val="single"/>
        </w:rPr>
      </w:pPr>
    </w:p>
    <w:p w:rsidR="00912C1E" w:rsidRPr="00912C1E" w:rsidRDefault="00912C1E" w:rsidP="00912C1E">
      <w:pPr>
        <w:spacing w:after="0"/>
        <w:jc w:val="both"/>
        <w:rPr>
          <w:rFonts w:ascii="Times New Roman" w:hAnsi="Times New Roman" w:cs="Times New Roman"/>
          <w:b/>
          <w:i/>
          <w:sz w:val="24"/>
          <w:szCs w:val="24"/>
          <w:u w:val="single"/>
        </w:rPr>
      </w:pPr>
      <w:r w:rsidRPr="00912C1E">
        <w:rPr>
          <w:rFonts w:ascii="Times New Roman" w:hAnsi="Times New Roman" w:cs="Times New Roman"/>
          <w:b/>
          <w:i/>
          <w:sz w:val="24"/>
          <w:szCs w:val="24"/>
          <w:u w:val="single"/>
        </w:rPr>
        <w:t>IMATINIB MESYLATE Supreme Court Judgment on Sections 2(1</w:t>
      </w:r>
      <w:proofErr w:type="gramStart"/>
      <w:r w:rsidRPr="00912C1E">
        <w:rPr>
          <w:rFonts w:ascii="Times New Roman" w:hAnsi="Times New Roman" w:cs="Times New Roman"/>
          <w:b/>
          <w:i/>
          <w:sz w:val="24"/>
          <w:szCs w:val="24"/>
          <w:u w:val="single"/>
        </w:rPr>
        <w:t>)(</w:t>
      </w:r>
      <w:proofErr w:type="spellStart"/>
      <w:proofErr w:type="gramEnd"/>
      <w:r w:rsidRPr="00912C1E">
        <w:rPr>
          <w:rFonts w:ascii="Times New Roman" w:hAnsi="Times New Roman" w:cs="Times New Roman"/>
          <w:b/>
          <w:i/>
          <w:sz w:val="24"/>
          <w:szCs w:val="24"/>
          <w:u w:val="single"/>
        </w:rPr>
        <w:t>ja</w:t>
      </w:r>
      <w:proofErr w:type="spellEnd"/>
      <w:r w:rsidRPr="00912C1E">
        <w:rPr>
          <w:rFonts w:ascii="Times New Roman" w:hAnsi="Times New Roman" w:cs="Times New Roman"/>
          <w:b/>
          <w:i/>
          <w:sz w:val="24"/>
          <w:szCs w:val="24"/>
          <w:u w:val="single"/>
        </w:rPr>
        <w:t>) &amp; 3(d)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For the entire judgment please refer to the following </w:t>
      </w:r>
      <w:proofErr w:type="spellStart"/>
      <w:proofErr w:type="gramStart"/>
      <w:r w:rsidRPr="00912C1E">
        <w:rPr>
          <w:rFonts w:ascii="Times New Roman" w:hAnsi="Times New Roman" w:cs="Times New Roman"/>
          <w:sz w:val="24"/>
          <w:szCs w:val="24"/>
        </w:rPr>
        <w:t>url</w:t>
      </w:r>
      <w:proofErr w:type="spellEnd"/>
      <w:proofErr w:type="gramEnd"/>
      <w:r w:rsidRPr="00912C1E">
        <w:rPr>
          <w:rFonts w:ascii="Times New Roman" w:hAnsi="Times New Roman" w:cs="Times New Roman"/>
          <w:sz w:val="24"/>
          <w:szCs w:val="24"/>
        </w:rPr>
        <w:t xml:space="preserve"> </w:t>
      </w:r>
    </w:p>
    <w:p w:rsidR="00912C1E" w:rsidRPr="00912C1E" w:rsidRDefault="00912C1E" w:rsidP="00912C1E">
      <w:pPr>
        <w:spacing w:after="0"/>
        <w:jc w:val="both"/>
        <w:rPr>
          <w:rStyle w:val="Hyperlink"/>
          <w:rFonts w:ascii="Times New Roman" w:hAnsi="Times New Roman" w:cs="Times New Roman"/>
          <w:b/>
          <w:sz w:val="24"/>
          <w:szCs w:val="24"/>
        </w:rPr>
      </w:pPr>
      <w:r w:rsidRPr="00912C1E">
        <w:rPr>
          <w:rFonts w:ascii="Times New Roman" w:hAnsi="Times New Roman" w:cs="Times New Roman"/>
          <w:b/>
          <w:sz w:val="24"/>
          <w:szCs w:val="24"/>
        </w:rPr>
        <w:t xml:space="preserve">Source: </w:t>
      </w:r>
      <w:hyperlink r:id="rId8" w:history="1">
        <w:r w:rsidRPr="00912C1E">
          <w:rPr>
            <w:rStyle w:val="Hyperlink"/>
            <w:rFonts w:ascii="Times New Roman" w:hAnsi="Times New Roman" w:cs="Times New Roman"/>
            <w:b/>
            <w:sz w:val="24"/>
            <w:szCs w:val="24"/>
          </w:rPr>
          <w:t>https://indiankanoon.org/doc/165776436/</w:t>
        </w:r>
      </w:hyperlink>
      <w:r w:rsidRPr="00912C1E">
        <w:rPr>
          <w:rStyle w:val="Hyperlink"/>
          <w:rFonts w:ascii="Times New Roman" w:hAnsi="Times New Roman" w:cs="Times New Roman"/>
          <w:b/>
          <w:sz w:val="24"/>
          <w:szCs w:val="24"/>
        </w:rPr>
        <w:t xml:space="preserve">     </w:t>
      </w:r>
    </w:p>
    <w:p w:rsidR="00912C1E" w:rsidRPr="00912C1E" w:rsidRDefault="00912C1E" w:rsidP="00912C1E">
      <w:pPr>
        <w:spacing w:after="0"/>
        <w:jc w:val="both"/>
        <w:rPr>
          <w:rFonts w:ascii="Times New Roman" w:hAnsi="Times New Roman" w:cs="Times New Roman"/>
          <w:sz w:val="24"/>
          <w:szCs w:val="24"/>
        </w:rPr>
      </w:pPr>
      <w:proofErr w:type="gramStart"/>
      <w:r w:rsidRPr="00912C1E">
        <w:rPr>
          <w:rStyle w:val="Hyperlink"/>
          <w:rFonts w:ascii="Times New Roman" w:hAnsi="Times New Roman" w:cs="Times New Roman"/>
          <w:sz w:val="24"/>
          <w:szCs w:val="24"/>
          <w:u w:val="none"/>
        </w:rPr>
        <w:t>or</w:t>
      </w:r>
      <w:proofErr w:type="gramEnd"/>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https://docs.google.com/file/d/0Bxi2TzVXul5ZQ1BMeFNJbnV1Mkk/edit</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CIVIL APPEAL No. 2728 OF 2013 (ARISING OUT OF SLP(C) No. 32706 OF 2009)</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NATCO PHARMA LTD. ....APPELLANT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VERSUS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UNION OF INDIA &amp; OTHERS ....RESPONDENTS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CIVIL APPEAL Nos. 2717-2727 OF 2013 (ARISING OUT OF SLP(C) Nos. 12984-12994 OF 2013)</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SLP(C).........../2011 CC Nos.6667-6677</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M/S CANCER PATIENTS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AID ASSOCIATION ....APPELLANT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Versus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UNION OF INDIA &amp; OTHERS ....RESPONDENTS </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Bench: </w:t>
      </w:r>
      <w:proofErr w:type="spellStart"/>
      <w:r w:rsidRPr="00912C1E">
        <w:rPr>
          <w:rFonts w:ascii="Times New Roman" w:hAnsi="Times New Roman" w:cs="Times New Roman"/>
          <w:b/>
          <w:sz w:val="24"/>
          <w:szCs w:val="24"/>
        </w:rPr>
        <w:t>Aftab</w:t>
      </w:r>
      <w:proofErr w:type="spellEnd"/>
      <w:r w:rsidRPr="00912C1E">
        <w:rPr>
          <w:rFonts w:ascii="Times New Roman" w:hAnsi="Times New Roman" w:cs="Times New Roman"/>
          <w:b/>
          <w:sz w:val="24"/>
          <w:szCs w:val="24"/>
        </w:rPr>
        <w:t xml:space="preserve"> </w:t>
      </w:r>
      <w:proofErr w:type="spellStart"/>
      <w:r w:rsidRPr="00912C1E">
        <w:rPr>
          <w:rFonts w:ascii="Times New Roman" w:hAnsi="Times New Roman" w:cs="Times New Roman"/>
          <w:b/>
          <w:sz w:val="24"/>
          <w:szCs w:val="24"/>
        </w:rPr>
        <w:t>Alam</w:t>
      </w:r>
      <w:proofErr w:type="spellEnd"/>
      <w:r w:rsidRPr="00912C1E">
        <w:rPr>
          <w:rFonts w:ascii="Times New Roman" w:hAnsi="Times New Roman" w:cs="Times New Roman"/>
          <w:b/>
          <w:sz w:val="24"/>
          <w:szCs w:val="24"/>
        </w:rPr>
        <w:t xml:space="preserve">, </w:t>
      </w:r>
      <w:proofErr w:type="spellStart"/>
      <w:r w:rsidRPr="00912C1E">
        <w:rPr>
          <w:rFonts w:ascii="Times New Roman" w:hAnsi="Times New Roman" w:cs="Times New Roman"/>
          <w:b/>
          <w:sz w:val="24"/>
          <w:szCs w:val="24"/>
        </w:rPr>
        <w:t>Ranjana</w:t>
      </w:r>
      <w:proofErr w:type="spellEnd"/>
      <w:r w:rsidRPr="00912C1E">
        <w:rPr>
          <w:rFonts w:ascii="Times New Roman" w:hAnsi="Times New Roman" w:cs="Times New Roman"/>
          <w:b/>
          <w:sz w:val="24"/>
          <w:szCs w:val="24"/>
        </w:rPr>
        <w:t xml:space="preserve"> </w:t>
      </w:r>
      <w:proofErr w:type="spellStart"/>
      <w:r w:rsidRPr="00912C1E">
        <w:rPr>
          <w:rFonts w:ascii="Times New Roman" w:hAnsi="Times New Roman" w:cs="Times New Roman"/>
          <w:b/>
          <w:sz w:val="24"/>
          <w:szCs w:val="24"/>
        </w:rPr>
        <w:t>Prakash</w:t>
      </w:r>
      <w:proofErr w:type="spellEnd"/>
      <w:r w:rsidRPr="00912C1E">
        <w:rPr>
          <w:rFonts w:ascii="Times New Roman" w:hAnsi="Times New Roman" w:cs="Times New Roman"/>
          <w:b/>
          <w:sz w:val="24"/>
          <w:szCs w:val="24"/>
        </w:rPr>
        <w:t xml:space="preserve"> Desai</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discussion on the above judgment as published in </w:t>
      </w:r>
      <w:proofErr w:type="spellStart"/>
      <w:r w:rsidRPr="00912C1E">
        <w:rPr>
          <w:rFonts w:ascii="Times New Roman" w:hAnsi="Times New Roman" w:cs="Times New Roman"/>
          <w:sz w:val="24"/>
          <w:szCs w:val="24"/>
        </w:rPr>
        <w:t>wikipedia</w:t>
      </w:r>
      <w:proofErr w:type="spellEnd"/>
      <w:r w:rsidRPr="00912C1E">
        <w:rPr>
          <w:rFonts w:ascii="Times New Roman" w:hAnsi="Times New Roman" w:cs="Times New Roman"/>
          <w:sz w:val="24"/>
          <w:szCs w:val="24"/>
        </w:rPr>
        <w:t xml:space="preserve"> is reproduced as hereunder. There are so </w:t>
      </w:r>
      <w:proofErr w:type="gramStart"/>
      <w:r w:rsidRPr="00912C1E">
        <w:rPr>
          <w:rFonts w:ascii="Times New Roman" w:hAnsi="Times New Roman" w:cs="Times New Roman"/>
          <w:sz w:val="24"/>
          <w:szCs w:val="24"/>
        </w:rPr>
        <w:t>may</w:t>
      </w:r>
      <w:proofErr w:type="gramEnd"/>
      <w:r w:rsidRPr="00912C1E">
        <w:rPr>
          <w:rFonts w:ascii="Times New Roman" w:hAnsi="Times New Roman" w:cs="Times New Roman"/>
          <w:sz w:val="24"/>
          <w:szCs w:val="24"/>
        </w:rPr>
        <w:t xml:space="preserve"> discussions are available in the internet and the readers are advised to check those versions, if interested.</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Source: https://en.wikipedia.org/wiki/Novartis_v._Union_of_India_%26_Others</w:t>
      </w:r>
    </w:p>
    <w:p w:rsidR="00912C1E" w:rsidRDefault="00912C1E" w:rsidP="00912C1E">
      <w:pPr>
        <w:pBdr>
          <w:bottom w:val="single" w:sz="6" w:space="0" w:color="A2A9B1"/>
        </w:pBdr>
        <w:shd w:val="clear" w:color="auto" w:fill="FFFFFF"/>
        <w:spacing w:after="0" w:line="240" w:lineRule="auto"/>
        <w:outlineLvl w:val="1"/>
        <w:rPr>
          <w:rFonts w:ascii="Times New Roman" w:eastAsia="Times New Roman" w:hAnsi="Times New Roman" w:cs="Times New Roman"/>
          <w:color w:val="000000"/>
          <w:sz w:val="24"/>
          <w:szCs w:val="24"/>
        </w:rPr>
      </w:pPr>
    </w:p>
    <w:p w:rsidR="00912C1E" w:rsidRPr="00912C1E" w:rsidRDefault="00912C1E" w:rsidP="00912C1E">
      <w:pPr>
        <w:pBdr>
          <w:bottom w:val="single" w:sz="6" w:space="0" w:color="A2A9B1"/>
        </w:pBdr>
        <w:shd w:val="clear" w:color="auto" w:fill="FFFFFF"/>
        <w:spacing w:after="0" w:line="240" w:lineRule="auto"/>
        <w:outlineLvl w:val="1"/>
        <w:rPr>
          <w:rFonts w:ascii="Times New Roman" w:eastAsia="Times New Roman" w:hAnsi="Times New Roman" w:cs="Times New Roman"/>
          <w:color w:val="000000"/>
          <w:sz w:val="24"/>
          <w:szCs w:val="24"/>
        </w:rPr>
      </w:pPr>
      <w:r w:rsidRPr="00912C1E">
        <w:rPr>
          <w:rFonts w:ascii="Times New Roman" w:eastAsia="Times New Roman" w:hAnsi="Times New Roman" w:cs="Times New Roman"/>
          <w:color w:val="000000"/>
          <w:sz w:val="24"/>
          <w:szCs w:val="24"/>
        </w:rPr>
        <w:t>Background</w:t>
      </w:r>
    </w:p>
    <w:p w:rsidR="00912C1E" w:rsidRDefault="00912C1E" w:rsidP="00912C1E">
      <w:pPr>
        <w:shd w:val="clear" w:color="auto" w:fill="FFFFFF"/>
        <w:spacing w:after="0" w:line="240" w:lineRule="auto"/>
        <w:outlineLvl w:val="2"/>
        <w:rPr>
          <w:rFonts w:ascii="Times New Roman" w:eastAsia="Times New Roman" w:hAnsi="Times New Roman" w:cs="Times New Roman"/>
          <w:b/>
          <w:bCs/>
          <w:color w:val="000000"/>
          <w:sz w:val="24"/>
          <w:szCs w:val="24"/>
        </w:rPr>
      </w:pPr>
    </w:p>
    <w:p w:rsidR="00912C1E" w:rsidRPr="00912C1E" w:rsidRDefault="00912C1E" w:rsidP="00912C1E">
      <w:pPr>
        <w:shd w:val="clear" w:color="auto" w:fill="FFFFFF"/>
        <w:spacing w:after="0" w:line="240" w:lineRule="auto"/>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 xml:space="preserve">History of Patent laws and </w:t>
      </w:r>
      <w:proofErr w:type="spellStart"/>
      <w:r w:rsidRPr="00912C1E">
        <w:rPr>
          <w:rFonts w:ascii="Times New Roman" w:eastAsia="Times New Roman" w:hAnsi="Times New Roman" w:cs="Times New Roman"/>
          <w:b/>
          <w:bCs/>
          <w:color w:val="000000"/>
          <w:sz w:val="24"/>
          <w:szCs w:val="24"/>
        </w:rPr>
        <w:t>pharma</w:t>
      </w:r>
      <w:proofErr w:type="spellEnd"/>
      <w:r w:rsidRPr="00912C1E">
        <w:rPr>
          <w:rFonts w:ascii="Times New Roman" w:eastAsia="Times New Roman" w:hAnsi="Times New Roman" w:cs="Times New Roman"/>
          <w:b/>
          <w:bCs/>
          <w:color w:val="000000"/>
          <w:sz w:val="24"/>
          <w:szCs w:val="24"/>
        </w:rPr>
        <w:t xml:space="preserve"> industry in India</w:t>
      </w:r>
    </w:p>
    <w:p w:rsidR="00912C1E" w:rsidRPr="00912C1E" w:rsidRDefault="00912C1E" w:rsidP="00912C1E">
      <w:pPr>
        <w:shd w:val="clear" w:color="auto" w:fill="FFFFFF"/>
        <w:spacing w:after="0" w:line="240" w:lineRule="auto"/>
        <w:rPr>
          <w:rFonts w:ascii="Times New Roman" w:eastAsia="Times New Roman" w:hAnsi="Times New Roman" w:cs="Times New Roman"/>
          <w:i/>
          <w:iCs/>
          <w:color w:val="222222"/>
          <w:sz w:val="24"/>
          <w:szCs w:val="24"/>
        </w:rPr>
      </w:pPr>
      <w:r w:rsidRPr="00912C1E">
        <w:rPr>
          <w:rFonts w:ascii="Times New Roman" w:eastAsia="Times New Roman" w:hAnsi="Times New Roman" w:cs="Times New Roman"/>
          <w:i/>
          <w:iCs/>
          <w:color w:val="222222"/>
          <w:sz w:val="24"/>
          <w:szCs w:val="24"/>
        </w:rPr>
        <w:t>See also: </w:t>
      </w:r>
      <w:hyperlink r:id="rId9" w:tooltip="Indian Patent System (page does not exist)" w:history="1">
        <w:r w:rsidRPr="00912C1E">
          <w:rPr>
            <w:rFonts w:ascii="Times New Roman" w:eastAsia="Times New Roman" w:hAnsi="Times New Roman" w:cs="Times New Roman"/>
            <w:i/>
            <w:iCs/>
            <w:color w:val="A55858"/>
            <w:sz w:val="24"/>
            <w:szCs w:val="24"/>
            <w:u w:val="single"/>
          </w:rPr>
          <w:t>Indian Patent System</w:t>
        </w:r>
      </w:hyperlink>
      <w:r w:rsidRPr="00912C1E">
        <w:rPr>
          <w:rFonts w:ascii="Times New Roman" w:eastAsia="Times New Roman" w:hAnsi="Times New Roman" w:cs="Times New Roman"/>
          <w:i/>
          <w:iCs/>
          <w:color w:val="222222"/>
          <w:sz w:val="24"/>
          <w:szCs w:val="24"/>
        </w:rPr>
        <w:t> and </w:t>
      </w:r>
      <w:hyperlink r:id="rId10" w:tooltip="Indian Patent Office" w:history="1">
        <w:r w:rsidRPr="00912C1E">
          <w:rPr>
            <w:rFonts w:ascii="Times New Roman" w:eastAsia="Times New Roman" w:hAnsi="Times New Roman" w:cs="Times New Roman"/>
            <w:i/>
            <w:iCs/>
            <w:color w:val="0B0080"/>
            <w:sz w:val="24"/>
            <w:szCs w:val="24"/>
            <w:u w:val="single"/>
          </w:rPr>
          <w:t>Indian Patent Office</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As part of the </w:t>
      </w:r>
      <w:hyperlink r:id="rId11" w:tooltip="Commonwealth" w:history="1">
        <w:r w:rsidRPr="00912C1E">
          <w:rPr>
            <w:rFonts w:ascii="Times New Roman" w:eastAsia="Times New Roman" w:hAnsi="Times New Roman" w:cs="Times New Roman"/>
            <w:color w:val="0B0080"/>
            <w:sz w:val="24"/>
            <w:szCs w:val="24"/>
            <w:u w:val="single"/>
          </w:rPr>
          <w:t>Commonwealth</w:t>
        </w:r>
      </w:hyperlink>
      <w:r w:rsidRPr="00912C1E">
        <w:rPr>
          <w:rFonts w:ascii="Times New Roman" w:eastAsia="Times New Roman" w:hAnsi="Times New Roman" w:cs="Times New Roman"/>
          <w:color w:val="222222"/>
          <w:sz w:val="24"/>
          <w:szCs w:val="24"/>
        </w:rPr>
        <w:t>, India inherited its </w:t>
      </w:r>
      <w:hyperlink r:id="rId12" w:tooltip="Intellectual property" w:history="1">
        <w:r w:rsidRPr="00912C1E">
          <w:rPr>
            <w:rFonts w:ascii="Times New Roman" w:eastAsia="Times New Roman" w:hAnsi="Times New Roman" w:cs="Times New Roman"/>
            <w:color w:val="0B0080"/>
            <w:sz w:val="24"/>
            <w:szCs w:val="24"/>
            <w:u w:val="single"/>
          </w:rPr>
          <w:t>intellectual property</w:t>
        </w:r>
      </w:hyperlink>
      <w:r w:rsidRPr="00912C1E">
        <w:rPr>
          <w:rFonts w:ascii="Times New Roman" w:eastAsia="Times New Roman" w:hAnsi="Times New Roman" w:cs="Times New Roman"/>
          <w:color w:val="222222"/>
          <w:sz w:val="24"/>
          <w:szCs w:val="24"/>
        </w:rPr>
        <w:t> laws from Great Britain. However, after gaining independence in 1947, there was a growing consensus that to boost manufacturing restrictive product patents must be temporarily removed. In 1970, amendments to the Indian Patents Act abolished product patents but retained </w:t>
      </w:r>
      <w:hyperlink r:id="rId13" w:tooltip="Process patent" w:history="1">
        <w:r w:rsidRPr="00912C1E">
          <w:rPr>
            <w:rFonts w:ascii="Times New Roman" w:eastAsia="Times New Roman" w:hAnsi="Times New Roman" w:cs="Times New Roman"/>
            <w:color w:val="0B0080"/>
            <w:sz w:val="24"/>
            <w:szCs w:val="24"/>
            <w:u w:val="single"/>
          </w:rPr>
          <w:t>process patents</w:t>
        </w:r>
      </w:hyperlink>
      <w:r w:rsidRPr="00912C1E">
        <w:rPr>
          <w:rFonts w:ascii="Times New Roman" w:eastAsia="Times New Roman" w:hAnsi="Times New Roman" w:cs="Times New Roman"/>
          <w:color w:val="222222"/>
          <w:sz w:val="24"/>
          <w:szCs w:val="24"/>
        </w:rPr>
        <w:t> with a reduced span of protection.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During the absence of any product patent regime, the </w:t>
      </w:r>
      <w:hyperlink r:id="rId14" w:tooltip="Pharmaceutical industry in India" w:history="1">
        <w:r w:rsidRPr="00912C1E">
          <w:rPr>
            <w:rFonts w:ascii="Times New Roman" w:eastAsia="Times New Roman" w:hAnsi="Times New Roman" w:cs="Times New Roman"/>
            <w:color w:val="0B0080"/>
            <w:sz w:val="24"/>
            <w:szCs w:val="24"/>
            <w:u w:val="single"/>
          </w:rPr>
          <w:t>Indian pharmaceutical industry</w:t>
        </w:r>
      </w:hyperlink>
      <w:r w:rsidRPr="00912C1E">
        <w:rPr>
          <w:rFonts w:ascii="Times New Roman" w:eastAsia="Times New Roman" w:hAnsi="Times New Roman" w:cs="Times New Roman"/>
          <w:color w:val="222222"/>
          <w:sz w:val="24"/>
          <w:szCs w:val="24"/>
        </w:rPr>
        <w:t xml:space="preserve"> grew at a remarkable pace, ultimately becoming a net </w:t>
      </w:r>
      <w:proofErr w:type="gramStart"/>
      <w:r w:rsidRPr="00912C1E">
        <w:rPr>
          <w:rFonts w:ascii="Times New Roman" w:eastAsia="Times New Roman" w:hAnsi="Times New Roman" w:cs="Times New Roman"/>
          <w:color w:val="222222"/>
          <w:sz w:val="24"/>
          <w:szCs w:val="24"/>
        </w:rPr>
        <w:t>exporter,</w:t>
      </w:r>
      <w:proofErr w:type="gramEnd"/>
      <w:r w:rsidRPr="00912C1E">
        <w:rPr>
          <w:rFonts w:ascii="Times New Roman" w:eastAsia="Times New Roman" w:hAnsi="Times New Roman" w:cs="Times New Roman"/>
          <w:color w:val="222222"/>
          <w:sz w:val="24"/>
          <w:szCs w:val="24"/>
        </w:rPr>
        <w:t xml:space="preserve"> the world's third-largest by volume, and fourteenth-largest by value.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However, in the 1990s, during the Uruguay Round negotiations of the </w:t>
      </w:r>
      <w:hyperlink r:id="rId15" w:tooltip="World Trade Organization" w:history="1">
        <w:r w:rsidRPr="00912C1E">
          <w:rPr>
            <w:rFonts w:ascii="Times New Roman" w:eastAsia="Times New Roman" w:hAnsi="Times New Roman" w:cs="Times New Roman"/>
            <w:color w:val="0B0080"/>
            <w:sz w:val="24"/>
            <w:szCs w:val="24"/>
            <w:u w:val="single"/>
          </w:rPr>
          <w:t>World Trade Organization</w:t>
        </w:r>
      </w:hyperlink>
      <w:r w:rsidRPr="00912C1E">
        <w:rPr>
          <w:rFonts w:ascii="Times New Roman" w:eastAsia="Times New Roman" w:hAnsi="Times New Roman" w:cs="Times New Roman"/>
          <w:color w:val="222222"/>
          <w:sz w:val="24"/>
          <w:szCs w:val="24"/>
        </w:rPr>
        <w:t> (WTO), India pledged to bring its patent legislation in tune with the </w:t>
      </w:r>
      <w:hyperlink r:id="rId16" w:tooltip="TRIPS" w:history="1">
        <w:r w:rsidRPr="00912C1E">
          <w:rPr>
            <w:rFonts w:ascii="Times New Roman" w:eastAsia="Times New Roman" w:hAnsi="Times New Roman" w:cs="Times New Roman"/>
            <w:color w:val="0B0080"/>
            <w:sz w:val="24"/>
            <w:szCs w:val="24"/>
            <w:u w:val="single"/>
          </w:rPr>
          <w:t>TRIPS</w:t>
        </w:r>
      </w:hyperlink>
      <w:r w:rsidRPr="00912C1E">
        <w:rPr>
          <w:rFonts w:ascii="Times New Roman" w:eastAsia="Times New Roman" w:hAnsi="Times New Roman" w:cs="Times New Roman"/>
          <w:color w:val="222222"/>
          <w:sz w:val="24"/>
          <w:szCs w:val="24"/>
        </w:rPr>
        <w:t xml:space="preserve"> mandate in a phased manner. Consequently, in 1999 India allowed for transitional filing of product patent applications, with retrospective effect from 1995. Full product and </w:t>
      </w:r>
      <w:r w:rsidRPr="00912C1E">
        <w:rPr>
          <w:rFonts w:ascii="Times New Roman" w:eastAsia="Times New Roman" w:hAnsi="Times New Roman" w:cs="Times New Roman"/>
          <w:color w:val="222222"/>
          <w:sz w:val="24"/>
          <w:szCs w:val="24"/>
        </w:rPr>
        <w:lastRenderedPageBreak/>
        <w:t xml:space="preserve">process patent protection was re-introduced beginning in 2005 when all transitional regulations ended.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India's patent law also contained a "</w:t>
      </w:r>
      <w:hyperlink r:id="rId17" w:tooltip="Grandfather clause" w:history="1">
        <w:r w:rsidRPr="00912C1E">
          <w:rPr>
            <w:rFonts w:ascii="Times New Roman" w:eastAsia="Times New Roman" w:hAnsi="Times New Roman" w:cs="Times New Roman"/>
            <w:color w:val="0B0080"/>
            <w:sz w:val="24"/>
            <w:szCs w:val="24"/>
            <w:u w:val="single"/>
          </w:rPr>
          <w:t>grandfather clause</w:t>
        </w:r>
      </w:hyperlink>
      <w:r w:rsidRPr="00912C1E">
        <w:rPr>
          <w:rFonts w:ascii="Times New Roman" w:eastAsia="Times New Roman" w:hAnsi="Times New Roman" w:cs="Times New Roman"/>
          <w:color w:val="222222"/>
          <w:sz w:val="24"/>
          <w:szCs w:val="24"/>
        </w:rPr>
        <w:t xml:space="preserve">" in section 11A, subsection (7), that created "a special regime for generic versions of medicines if the initial patent application was made between the 1st of January 1995 and the 31st of December 2004 and if these medicines were already on the Indian market before the 1st of January 2005.... Generics that enter into this category can stay on the Indian market even if their pharmaceutical substance is patented. However, the Indian law requires that the producers of those generics then pay a “reasonable royalty” to the patent holder.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The case hinged on a section of the new Indian patent law dealing with whether incremental inventions would be patentable, namely Section 3d.</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The initial version read as follows: "The mere discovery of any new property or new use of a known substance or of the mere use of a known process, machine or apparatus unless such known process results in a new product or employs at least one new reactant.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This was amended twice, the last time in 2005. The final version reads as follows (amendments in italics): "</w:t>
      </w:r>
      <w:r w:rsidRPr="00912C1E">
        <w:rPr>
          <w:rFonts w:ascii="Times New Roman" w:eastAsia="Times New Roman" w:hAnsi="Times New Roman" w:cs="Times New Roman"/>
          <w:i/>
          <w:iCs/>
          <w:color w:val="222222"/>
          <w:sz w:val="24"/>
          <w:szCs w:val="24"/>
        </w:rPr>
        <w:t>The mere discovery of a new form of a known substance which does not result in the enhancement of the known efficacy of that substance or</w:t>
      </w:r>
      <w:r w:rsidRPr="00912C1E">
        <w:rPr>
          <w:rFonts w:ascii="Times New Roman" w:eastAsia="Times New Roman" w:hAnsi="Times New Roman" w:cs="Times New Roman"/>
          <w:color w:val="222222"/>
          <w:sz w:val="24"/>
          <w:szCs w:val="24"/>
        </w:rPr>
        <w:t> the mere discovery of any new property or new use for a known substance or of the mere use of a known process, machine or apparatus unless such known process results in a new product or employs at least one new reactant. </w:t>
      </w:r>
      <w:r w:rsidRPr="00912C1E">
        <w:rPr>
          <w:rFonts w:ascii="Times New Roman" w:eastAsia="Times New Roman" w:hAnsi="Times New Roman" w:cs="Times New Roman"/>
          <w:i/>
          <w:iCs/>
          <w:color w:val="222222"/>
          <w:sz w:val="24"/>
          <w:szCs w:val="24"/>
        </w:rPr>
        <w:t xml:space="preserve">Explanation: For the purposes of this clause, salts, esters, ethers, polymorphs, metabolites, </w:t>
      </w:r>
      <w:proofErr w:type="spellStart"/>
      <w:r w:rsidRPr="00912C1E">
        <w:rPr>
          <w:rFonts w:ascii="Times New Roman" w:eastAsia="Times New Roman" w:hAnsi="Times New Roman" w:cs="Times New Roman"/>
          <w:i/>
          <w:iCs/>
          <w:color w:val="222222"/>
          <w:sz w:val="24"/>
          <w:szCs w:val="24"/>
        </w:rPr>
        <w:t>pureform</w:t>
      </w:r>
      <w:proofErr w:type="spellEnd"/>
      <w:r w:rsidRPr="00912C1E">
        <w:rPr>
          <w:rFonts w:ascii="Times New Roman" w:eastAsia="Times New Roman" w:hAnsi="Times New Roman" w:cs="Times New Roman"/>
          <w:i/>
          <w:iCs/>
          <w:color w:val="222222"/>
          <w:sz w:val="24"/>
          <w:szCs w:val="24"/>
        </w:rPr>
        <w:t>, particle size isomers, mixtures of isomers, complexes, combinations and other derivatives of known substance shall be considered to be the same substance, unless they differ significantly in properties with regard to efficacy.</w:t>
      </w:r>
      <w:r w:rsidRPr="00912C1E">
        <w:rPr>
          <w:rFonts w:ascii="Times New Roman" w:eastAsia="Times New Roman" w:hAnsi="Times New Roman" w:cs="Times New Roman"/>
          <w:color w:val="222222"/>
          <w:sz w:val="24"/>
          <w:szCs w:val="24"/>
        </w:rPr>
        <w:t>"</w:t>
      </w:r>
      <w:hyperlink r:id="rId18" w:anchor="cite_note-2007Decn-9" w:history="1">
        <w:r w:rsidRPr="00912C1E">
          <w:rPr>
            <w:rFonts w:ascii="Times New Roman" w:eastAsia="Times New Roman" w:hAnsi="Times New Roman" w:cs="Times New Roman"/>
            <w:color w:val="0B0080"/>
            <w:sz w:val="24"/>
            <w:szCs w:val="24"/>
            <w:u w:val="single"/>
            <w:vertAlign w:val="superscript"/>
          </w:rPr>
          <w:t>[9]</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As discussed below, Novartis filed its initial patent application on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(the raw material in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in 1993, and at that time India did not confer product patents. As mentioned above, in 1995 India joined the World Trade Organization and signed onto TRIPS; Switzerland joined the WTO later that same year. Novartis filed its initial patent applications on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itself in 1997, after both India and Switzerland had joined the WTO but while both were still in transition.</w:t>
      </w:r>
    </w:p>
    <w:p w:rsid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Initial patent filings and product launches</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In the early 1990s a number of derivatives of </w:t>
      </w:r>
      <w:r w:rsidRPr="00912C1E">
        <w:rPr>
          <w:rFonts w:ascii="Times New Roman" w:eastAsia="Times New Roman" w:hAnsi="Times New Roman" w:cs="Times New Roman"/>
          <w:i/>
          <w:iCs/>
          <w:color w:val="222222"/>
          <w:sz w:val="24"/>
          <w:szCs w:val="24"/>
        </w:rPr>
        <w:t>N</w:t>
      </w:r>
      <w:r w:rsidRPr="00912C1E">
        <w:rPr>
          <w:rFonts w:ascii="Times New Roman" w:eastAsia="Times New Roman" w:hAnsi="Times New Roman" w:cs="Times New Roman"/>
          <w:color w:val="222222"/>
          <w:sz w:val="24"/>
          <w:szCs w:val="24"/>
        </w:rPr>
        <w:t>-phenyl-2-pyrimidineamine were synthesized by scientists at Ciba-Geigy (now part of </w:t>
      </w:r>
      <w:hyperlink r:id="rId19" w:tooltip="Novartis" w:history="1">
        <w:r w:rsidRPr="00912C1E">
          <w:rPr>
            <w:rFonts w:ascii="Times New Roman" w:eastAsia="Times New Roman" w:hAnsi="Times New Roman" w:cs="Times New Roman"/>
            <w:color w:val="0B0080"/>
            <w:sz w:val="24"/>
            <w:szCs w:val="24"/>
            <w:u w:val="single"/>
          </w:rPr>
          <w:t>Novartis</w:t>
        </w:r>
      </w:hyperlink>
      <w:r w:rsidRPr="00912C1E">
        <w:rPr>
          <w:rFonts w:ascii="Times New Roman" w:eastAsia="Times New Roman" w:hAnsi="Times New Roman" w:cs="Times New Roman"/>
          <w:color w:val="222222"/>
          <w:sz w:val="24"/>
          <w:szCs w:val="24"/>
        </w:rPr>
        <w:t>), one compound of which was CGP 57148 in </w:t>
      </w:r>
      <w:hyperlink r:id="rId20" w:tooltip="Free base" w:history="1">
        <w:r w:rsidRPr="00912C1E">
          <w:rPr>
            <w:rFonts w:ascii="Times New Roman" w:eastAsia="Times New Roman" w:hAnsi="Times New Roman" w:cs="Times New Roman"/>
            <w:color w:val="0B0080"/>
            <w:sz w:val="24"/>
            <w:szCs w:val="24"/>
            <w:u w:val="single"/>
          </w:rPr>
          <w:t>free base</w:t>
        </w:r>
      </w:hyperlink>
      <w:r w:rsidRPr="00912C1E">
        <w:rPr>
          <w:rFonts w:ascii="Times New Roman" w:eastAsia="Times New Roman" w:hAnsi="Times New Roman" w:cs="Times New Roman"/>
          <w:color w:val="222222"/>
          <w:sz w:val="24"/>
          <w:szCs w:val="24"/>
        </w:rPr>
        <w:t> form (later given the </w:t>
      </w:r>
      <w:hyperlink r:id="rId21" w:tooltip="International Nonproprietary Name" w:history="1">
        <w:r w:rsidRPr="00912C1E">
          <w:rPr>
            <w:rFonts w:ascii="Times New Roman" w:eastAsia="Times New Roman" w:hAnsi="Times New Roman" w:cs="Times New Roman"/>
            <w:color w:val="0B0080"/>
            <w:sz w:val="24"/>
            <w:szCs w:val="24"/>
            <w:u w:val="single"/>
          </w:rPr>
          <w:t>International Nonproprietary Name</w:t>
        </w:r>
      </w:hyperlink>
      <w:r w:rsidRPr="00912C1E">
        <w:rPr>
          <w:rFonts w:ascii="Times New Roman" w:eastAsia="Times New Roman" w:hAnsi="Times New Roman" w:cs="Times New Roman"/>
          <w:color w:val="222222"/>
          <w:sz w:val="24"/>
          <w:szCs w:val="24"/>
        </w:rPr>
        <w:t>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"https://en.wikipedia.org/wiki/Imatinib" \o "Imatinib"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imatinib</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by the </w:t>
      </w:r>
      <w:hyperlink r:id="rId22" w:tooltip="World Health Organization" w:history="1">
        <w:r w:rsidRPr="00912C1E">
          <w:rPr>
            <w:rFonts w:ascii="Times New Roman" w:eastAsia="Times New Roman" w:hAnsi="Times New Roman" w:cs="Times New Roman"/>
            <w:color w:val="0B0080"/>
            <w:sz w:val="24"/>
            <w:szCs w:val="24"/>
            <w:u w:val="single"/>
          </w:rPr>
          <w:t>World Health Organization</w:t>
        </w:r>
      </w:hyperlink>
      <w:r w:rsidRPr="00912C1E">
        <w:rPr>
          <w:rFonts w:ascii="Times New Roman" w:eastAsia="Times New Roman" w:hAnsi="Times New Roman" w:cs="Times New Roman"/>
          <w:color w:val="222222"/>
          <w:sz w:val="24"/>
          <w:szCs w:val="24"/>
        </w:rPr>
        <w:t> (WHO)). A Swiss patent application was filed on April 3, 1992, which was then filed in the EU, the US, and other countries in March and April 1993 and in 1996 </w:t>
      </w:r>
      <w:hyperlink r:id="rId23" w:tooltip="USPTO" w:history="1">
        <w:r w:rsidRPr="00912C1E">
          <w:rPr>
            <w:rFonts w:ascii="Times New Roman" w:eastAsia="Times New Roman" w:hAnsi="Times New Roman" w:cs="Times New Roman"/>
            <w:color w:val="0B0080"/>
            <w:sz w:val="24"/>
            <w:szCs w:val="24"/>
            <w:u w:val="single"/>
          </w:rPr>
          <w:t>United States</w:t>
        </w:r>
      </w:hyperlink>
      <w:r w:rsidRPr="00912C1E">
        <w:rPr>
          <w:rFonts w:ascii="Times New Roman" w:eastAsia="Times New Roman" w:hAnsi="Times New Roman" w:cs="Times New Roman"/>
          <w:color w:val="222222"/>
          <w:sz w:val="24"/>
          <w:szCs w:val="24"/>
        </w:rPr>
        <w:t> and </w:t>
      </w:r>
      <w:hyperlink r:id="rId24" w:tooltip="European Patent Office" w:history="1">
        <w:r w:rsidRPr="00912C1E">
          <w:rPr>
            <w:rFonts w:ascii="Times New Roman" w:eastAsia="Times New Roman" w:hAnsi="Times New Roman" w:cs="Times New Roman"/>
            <w:color w:val="0B0080"/>
            <w:sz w:val="24"/>
            <w:szCs w:val="24"/>
            <w:u w:val="single"/>
          </w:rPr>
          <w:t>European</w:t>
        </w:r>
      </w:hyperlink>
      <w:r w:rsidRPr="00912C1E">
        <w:rPr>
          <w:rFonts w:ascii="Times New Roman" w:eastAsia="Times New Roman" w:hAnsi="Times New Roman" w:cs="Times New Roman"/>
          <w:color w:val="222222"/>
          <w:sz w:val="24"/>
          <w:szCs w:val="24"/>
        </w:rPr>
        <w:t xml:space="preserve"> patent offices granted a patent to Novartis claiming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and its derivatives, including salts thereof (but not mentioning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The patent does not specify any crystal forms of the compounds or discuss their relative advantages and disadvantages.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On July 18, 1997, Novartis filed a new patent application in Switzerland on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"https://en.wikipedia.org/wiki/Mesylate" \o "Mesylate"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mesylate</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xml:space="preserve"> (the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w:t>
      </w:r>
      <w:hyperlink r:id="rId25" w:tooltip="Salt (chemistry)" w:history="1">
        <w:r w:rsidRPr="00912C1E">
          <w:rPr>
            <w:rFonts w:ascii="Times New Roman" w:eastAsia="Times New Roman" w:hAnsi="Times New Roman" w:cs="Times New Roman"/>
            <w:color w:val="0B0080"/>
            <w:sz w:val="24"/>
            <w:szCs w:val="24"/>
            <w:u w:val="single"/>
          </w:rPr>
          <w:t>salt</w:t>
        </w:r>
      </w:hyperlink>
      <w:r w:rsidRPr="00912C1E">
        <w:rPr>
          <w:rFonts w:ascii="Times New Roman" w:eastAsia="Times New Roman" w:hAnsi="Times New Roman" w:cs="Times New Roman"/>
          <w:color w:val="222222"/>
          <w:sz w:val="24"/>
          <w:szCs w:val="24"/>
        </w:rPr>
        <w:t xml:space="preserve">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The "beta crystalline form" of the molecule is a specific </w:t>
      </w:r>
      <w:hyperlink r:id="rId26" w:tooltip="Polymorphism (materials science)" w:history="1">
        <w:r w:rsidRPr="00912C1E">
          <w:rPr>
            <w:rFonts w:ascii="Times New Roman" w:eastAsia="Times New Roman" w:hAnsi="Times New Roman" w:cs="Times New Roman"/>
            <w:color w:val="0B0080"/>
            <w:sz w:val="24"/>
            <w:szCs w:val="24"/>
            <w:u w:val="single"/>
          </w:rPr>
          <w:t>polymorph</w:t>
        </w:r>
      </w:hyperlink>
      <w:r w:rsidRPr="00912C1E">
        <w:rPr>
          <w:rFonts w:ascii="Times New Roman" w:eastAsia="Times New Roman" w:hAnsi="Times New Roman" w:cs="Times New Roman"/>
          <w:color w:val="222222"/>
          <w:sz w:val="24"/>
          <w:szCs w:val="24"/>
        </w:rPr>
        <w:t xml:space="preserve">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a specific way that the individual molecules pack together to form a solid. This is the actual form of the drug sold as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a salt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as opposed to a free base, and the beta crystalline form as opposed to the alpha or other form.  On July 16, 1998, Novartis filed this patent application in India, which was given application number No</w:t>
      </w:r>
      <w:r w:rsidRPr="00912C1E">
        <w:rPr>
          <w:rFonts w:ascii="Times New Roman" w:eastAsia="Times New Roman" w:hAnsi="Times New Roman" w:cs="Times New Roman"/>
          <w:b/>
          <w:color w:val="222222"/>
          <w:sz w:val="24"/>
          <w:szCs w:val="24"/>
        </w:rPr>
        <w:t>.1602/MAS/1998,</w:t>
      </w:r>
      <w:r w:rsidRPr="00912C1E">
        <w:rPr>
          <w:rFonts w:ascii="Times New Roman" w:eastAsia="Times New Roman" w:hAnsi="Times New Roman" w:cs="Times New Roman"/>
          <w:color w:val="222222"/>
          <w:sz w:val="24"/>
          <w:szCs w:val="24"/>
        </w:rPr>
        <w:t xml:space="preserve"> and on July 16, 1998, it filed a PCT, each of which claimed priority to the 1997 Swiss application.</w:t>
      </w:r>
      <w:hyperlink r:id="rId27" w:anchor="cite_note-18" w:history="1">
        <w:r w:rsidRPr="00912C1E">
          <w:rPr>
            <w:rFonts w:ascii="Times New Roman" w:eastAsia="Times New Roman" w:hAnsi="Times New Roman" w:cs="Times New Roman"/>
            <w:color w:val="0B0080"/>
            <w:sz w:val="24"/>
            <w:szCs w:val="24"/>
            <w:u w:val="single"/>
            <w:vertAlign w:val="superscript"/>
          </w:rPr>
          <w:t>[18]</w:t>
        </w:r>
      </w:hyperlink>
      <w:hyperlink r:id="rId28" w:anchor="cite_note-PCT-19" w:history="1">
        <w:r w:rsidRPr="00912C1E">
          <w:rPr>
            <w:rFonts w:ascii="Times New Roman" w:eastAsia="Times New Roman" w:hAnsi="Times New Roman" w:cs="Times New Roman"/>
            <w:color w:val="0B0080"/>
            <w:sz w:val="24"/>
            <w:szCs w:val="24"/>
            <w:u w:val="single"/>
            <w:vertAlign w:val="superscript"/>
          </w:rPr>
          <w:t>[19]</w:t>
        </w:r>
      </w:hyperlink>
      <w:r w:rsidRPr="00912C1E">
        <w:rPr>
          <w:rFonts w:ascii="Times New Roman" w:eastAsia="Times New Roman" w:hAnsi="Times New Roman" w:cs="Times New Roman"/>
          <w:color w:val="222222"/>
          <w:sz w:val="24"/>
          <w:szCs w:val="24"/>
        </w:rPr>
        <w:t> The application showed that compared to the alpha form, the beta form had (i) more beneficial flow properties, (ii) better </w:t>
      </w:r>
      <w:hyperlink r:id="rId29" w:tooltip="Thermodynamic stability" w:history="1">
        <w:r w:rsidRPr="00912C1E">
          <w:rPr>
            <w:rFonts w:ascii="Times New Roman" w:eastAsia="Times New Roman" w:hAnsi="Times New Roman" w:cs="Times New Roman"/>
            <w:color w:val="0B0080"/>
            <w:sz w:val="24"/>
            <w:szCs w:val="24"/>
            <w:u w:val="single"/>
          </w:rPr>
          <w:t>thermodynamic stability</w:t>
        </w:r>
      </w:hyperlink>
      <w:r w:rsidRPr="00912C1E">
        <w:rPr>
          <w:rFonts w:ascii="Times New Roman" w:eastAsia="Times New Roman" w:hAnsi="Times New Roman" w:cs="Times New Roman"/>
          <w:color w:val="222222"/>
          <w:sz w:val="24"/>
          <w:szCs w:val="24"/>
        </w:rPr>
        <w:t xml:space="preserve">, (iii) </w:t>
      </w:r>
      <w:r w:rsidRPr="00912C1E">
        <w:rPr>
          <w:rFonts w:ascii="Times New Roman" w:eastAsia="Times New Roman" w:hAnsi="Times New Roman" w:cs="Times New Roman"/>
          <w:color w:val="222222"/>
          <w:sz w:val="24"/>
          <w:szCs w:val="24"/>
        </w:rPr>
        <w:lastRenderedPageBreak/>
        <w:t>lower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"https://en.wikipedia.org/wiki/Hygroscopicity" \o "Hygroscopicity"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hygroscopicity</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Novartis did not however provide any data showing improved efficacy (showing that this form of the drug actually worked better in treating cancer than the </w:t>
      </w:r>
      <w:hyperlink r:id="rId30" w:tooltip="Amorphous" w:history="1">
        <w:r w:rsidRPr="00912C1E">
          <w:rPr>
            <w:rFonts w:ascii="Times New Roman" w:eastAsia="Times New Roman" w:hAnsi="Times New Roman" w:cs="Times New Roman"/>
            <w:color w:val="0B0080"/>
            <w:sz w:val="24"/>
            <w:szCs w:val="24"/>
            <w:u w:val="single"/>
          </w:rPr>
          <w:t>amorphous</w:t>
        </w:r>
      </w:hyperlink>
      <w:r w:rsidRPr="00912C1E">
        <w:rPr>
          <w:rFonts w:ascii="Times New Roman" w:eastAsia="Times New Roman" w:hAnsi="Times New Roman" w:cs="Times New Roman"/>
          <w:color w:val="222222"/>
          <w:sz w:val="24"/>
          <w:szCs w:val="24"/>
        </w:rPr>
        <w:t xml:space="preserve"> form of the drug they had earlier patented) - that part of Indian patent law was created in 2005, years after Novartis' initial filing. Later, during the course of prosecution, appeals, and the litigation that ensued in India, Novartis undertook studies to compare the properties of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(described in its new patent application), with the freebase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(described in the older patent), and submitted them in affidavits. The studies showed that the beta crystalline form of the drug had increased </w:t>
      </w:r>
      <w:hyperlink r:id="rId31" w:tooltip="Bioavailability" w:history="1">
        <w:r w:rsidRPr="00912C1E">
          <w:rPr>
            <w:rFonts w:ascii="Times New Roman" w:eastAsia="Times New Roman" w:hAnsi="Times New Roman" w:cs="Times New Roman"/>
            <w:color w:val="0B0080"/>
            <w:sz w:val="24"/>
            <w:szCs w:val="24"/>
            <w:u w:val="single"/>
          </w:rPr>
          <w:t>bioavailability</w:t>
        </w:r>
      </w:hyperlink>
      <w:r w:rsidRPr="00912C1E">
        <w:rPr>
          <w:rFonts w:ascii="Times New Roman" w:eastAsia="Times New Roman" w:hAnsi="Times New Roman" w:cs="Times New Roman"/>
          <w:color w:val="222222"/>
          <w:sz w:val="24"/>
          <w:szCs w:val="24"/>
        </w:rPr>
        <w:t> in rats. A United States patent was granted in 2005.</w:t>
      </w:r>
      <w:hyperlink r:id="rId32" w:anchor="cite_note-21" w:history="1">
        <w:r w:rsidRPr="00912C1E">
          <w:rPr>
            <w:rFonts w:ascii="Times New Roman" w:eastAsia="Times New Roman" w:hAnsi="Times New Roman" w:cs="Times New Roman"/>
            <w:color w:val="0B0080"/>
            <w:sz w:val="24"/>
            <w:szCs w:val="24"/>
            <w:u w:val="single"/>
            <w:vertAlign w:val="superscript"/>
          </w:rPr>
          <w:t>[21]</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In 2001 the United States </w:t>
      </w:r>
      <w:hyperlink r:id="rId33" w:tooltip="Food and Drug Administration" w:history="1">
        <w:r w:rsidRPr="00912C1E">
          <w:rPr>
            <w:rFonts w:ascii="Times New Roman" w:eastAsia="Times New Roman" w:hAnsi="Times New Roman" w:cs="Times New Roman"/>
            <w:color w:val="0B0080"/>
            <w:sz w:val="24"/>
            <w:szCs w:val="24"/>
            <w:u w:val="single"/>
          </w:rPr>
          <w:t>Food and Drug Administration</w:t>
        </w:r>
      </w:hyperlink>
      <w:r w:rsidRPr="00912C1E">
        <w:rPr>
          <w:rFonts w:ascii="Times New Roman" w:eastAsia="Times New Roman" w:hAnsi="Times New Roman" w:cs="Times New Roman"/>
          <w:color w:val="222222"/>
          <w:sz w:val="24"/>
          <w:szCs w:val="24"/>
        </w:rPr>
        <w:t xml:space="preserve"> (FDA) approved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its beta crystalline form, sold by Novartis as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(U.S. or </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xml:space="preserve"> (Europe/Australia/Latin America). </w:t>
      </w:r>
      <w:hyperlink r:id="rId34" w:tooltip="Time (magazine)" w:history="1">
        <w:r w:rsidRPr="00912C1E">
          <w:rPr>
            <w:rFonts w:ascii="Times New Roman" w:eastAsia="Times New Roman" w:hAnsi="Times New Roman" w:cs="Times New Roman"/>
            <w:i/>
            <w:iCs/>
            <w:color w:val="0B0080"/>
            <w:sz w:val="24"/>
            <w:szCs w:val="24"/>
            <w:u w:val="single"/>
          </w:rPr>
          <w:t>TIME</w:t>
        </w:r>
      </w:hyperlink>
      <w:r w:rsidRPr="00912C1E">
        <w:rPr>
          <w:rFonts w:ascii="Times New Roman" w:eastAsia="Times New Roman" w:hAnsi="Times New Roman" w:cs="Times New Roman"/>
          <w:color w:val="222222"/>
          <w:sz w:val="24"/>
          <w:szCs w:val="24"/>
        </w:rPr>
        <w:t xml:space="preserve"> magazine hailed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in 2001 as the "magic bullet" to cure cancer. Both Novartis patents - on the freebase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and on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 are listed by Novartis in the FDA's </w:t>
      </w:r>
      <w:hyperlink r:id="rId35" w:tooltip="Approved Drug Products with Therapeutic Equivalence Evaluations" w:history="1">
        <w:r w:rsidRPr="00912C1E">
          <w:rPr>
            <w:rFonts w:ascii="Times New Roman" w:eastAsia="Times New Roman" w:hAnsi="Times New Roman" w:cs="Times New Roman"/>
            <w:color w:val="0B0080"/>
            <w:sz w:val="24"/>
            <w:szCs w:val="24"/>
            <w:u w:val="single"/>
          </w:rPr>
          <w:t>Orange Book</w:t>
        </w:r>
      </w:hyperlink>
      <w:r w:rsidRPr="00912C1E">
        <w:rPr>
          <w:rFonts w:ascii="Times New Roman" w:eastAsia="Times New Roman" w:hAnsi="Times New Roman" w:cs="Times New Roman"/>
          <w:color w:val="222222"/>
          <w:sz w:val="24"/>
          <w:szCs w:val="24"/>
        </w:rPr>
        <w:t xml:space="preserve"> entry for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As provided under the TRIPS agreement, Novartis applied for Exclusive Marketing Rights (EMR) for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from the Indian Patent Office and the EMR was granted in November 2003.</w:t>
      </w:r>
      <w:hyperlink r:id="rId36" w:anchor="cite_note-Decision8-9-26" w:history="1">
        <w:r w:rsidRPr="00912C1E">
          <w:rPr>
            <w:rFonts w:ascii="Times New Roman" w:eastAsia="Times New Roman" w:hAnsi="Times New Roman" w:cs="Times New Roman"/>
            <w:color w:val="0B0080"/>
            <w:sz w:val="24"/>
            <w:szCs w:val="24"/>
            <w:u w:val="single"/>
            <w:vertAlign w:val="superscript"/>
          </w:rPr>
          <w:t>[26]</w:t>
        </w:r>
      </w:hyperlink>
      <w:r w:rsidRPr="00912C1E">
        <w:rPr>
          <w:rFonts w:ascii="Times New Roman" w:eastAsia="Times New Roman" w:hAnsi="Times New Roman" w:cs="Times New Roman"/>
          <w:color w:val="222222"/>
          <w:sz w:val="24"/>
          <w:szCs w:val="24"/>
        </w:rPr>
        <w:t xml:space="preserve"> Novartis made use of the EMR to obtain orders against some generic manufacturers who had already launched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in India. Novartis set the price of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at USD 2666 per patient per month; generic companies were selling their versions at USD 177 to 266 per patient per month.</w:t>
      </w:r>
      <w:hyperlink r:id="rId37" w:anchor="cite_note-27" w:history="1">
        <w:r w:rsidRPr="00912C1E">
          <w:rPr>
            <w:rFonts w:ascii="Times New Roman" w:eastAsia="Times New Roman" w:hAnsi="Times New Roman" w:cs="Times New Roman"/>
            <w:color w:val="0B0080"/>
            <w:sz w:val="24"/>
            <w:szCs w:val="24"/>
            <w:u w:val="single"/>
            <w:vertAlign w:val="superscript"/>
          </w:rPr>
          <w:t>[27]</w:t>
        </w:r>
      </w:hyperlink>
      <w:r w:rsidRPr="00912C1E">
        <w:rPr>
          <w:rFonts w:ascii="Times New Roman" w:eastAsia="Times New Roman" w:hAnsi="Times New Roman" w:cs="Times New Roman"/>
          <w:color w:val="222222"/>
          <w:sz w:val="24"/>
          <w:szCs w:val="24"/>
        </w:rPr>
        <w:t xml:space="preserve"> Novartis also initiated a program to assist patients who could not afford its version of the drug, concurrent with its product launch. </w:t>
      </w:r>
    </w:p>
    <w:p w:rsid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Initial patent prosecution and litigation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As mentioned above, Novartis' patent application on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was filed in India in 1998 and put in a "mail-box" as per the TRIPS agreement.</w:t>
      </w:r>
      <w:hyperlink r:id="rId38" w:anchor="cite_note-29" w:history="1">
        <w:r w:rsidRPr="00912C1E">
          <w:rPr>
            <w:rFonts w:ascii="Times New Roman" w:eastAsia="Times New Roman" w:hAnsi="Times New Roman" w:cs="Times New Roman"/>
            <w:color w:val="0B0080"/>
            <w:sz w:val="24"/>
            <w:szCs w:val="24"/>
            <w:u w:val="single"/>
            <w:vertAlign w:val="superscript"/>
          </w:rPr>
          <w:t>[29]</w:t>
        </w:r>
      </w:hyperlink>
      <w:r w:rsidRPr="00912C1E">
        <w:rPr>
          <w:rFonts w:ascii="Times New Roman" w:eastAsia="Times New Roman" w:hAnsi="Times New Roman" w:cs="Times New Roman"/>
          <w:color w:val="222222"/>
          <w:sz w:val="24"/>
          <w:szCs w:val="24"/>
        </w:rPr>
        <w:t> The application was processed in 2005 once the law in India allowed for product patents.</w:t>
      </w:r>
      <w:hyperlink r:id="rId39" w:anchor="cite_note-30" w:history="1">
        <w:r w:rsidRPr="00912C1E">
          <w:rPr>
            <w:rFonts w:ascii="Times New Roman" w:eastAsia="Times New Roman" w:hAnsi="Times New Roman" w:cs="Times New Roman"/>
            <w:color w:val="0B0080"/>
            <w:sz w:val="24"/>
            <w:szCs w:val="24"/>
            <w:u w:val="single"/>
            <w:vertAlign w:val="superscript"/>
          </w:rPr>
          <w:t>[30]</w:t>
        </w:r>
      </w:hyperlink>
      <w:r w:rsidRPr="00912C1E">
        <w:rPr>
          <w:rFonts w:ascii="Times New Roman" w:eastAsia="Times New Roman" w:hAnsi="Times New Roman" w:cs="Times New Roman"/>
          <w:color w:val="222222"/>
          <w:sz w:val="24"/>
          <w:szCs w:val="24"/>
        </w:rPr>
        <w:t> The Assistant Controller of Patents and Designs rejected the application on 25 January 2006 as failing to satisfy requirements for novelty and non-obviousness. As the appellate board was not yet convened, Novartis filed several appeals before the </w:t>
      </w:r>
      <w:hyperlink r:id="rId40" w:tooltip="Madras High Court" w:history="1">
        <w:r w:rsidRPr="00912C1E">
          <w:rPr>
            <w:rFonts w:ascii="Times New Roman" w:eastAsia="Times New Roman" w:hAnsi="Times New Roman" w:cs="Times New Roman"/>
            <w:color w:val="0B0080"/>
            <w:sz w:val="24"/>
            <w:szCs w:val="24"/>
            <w:u w:val="single"/>
          </w:rPr>
          <w:t>Madras High Court</w:t>
        </w:r>
      </w:hyperlink>
      <w:r w:rsidRPr="00912C1E">
        <w:rPr>
          <w:rFonts w:ascii="Times New Roman" w:eastAsia="Times New Roman" w:hAnsi="Times New Roman" w:cs="Times New Roman"/>
          <w:color w:val="222222"/>
          <w:sz w:val="24"/>
          <w:szCs w:val="24"/>
        </w:rPr>
        <w:t> in 2006.</w:t>
      </w:r>
    </w:p>
    <w:p w:rsidR="00912C1E" w:rsidRPr="00912C1E" w:rsidRDefault="00912C1E" w:rsidP="00912C1E">
      <w:pPr>
        <w:shd w:val="clear" w:color="auto" w:fill="F8F9FA"/>
        <w:spacing w:after="0" w:line="240" w:lineRule="auto"/>
        <w:jc w:val="center"/>
        <w:rPr>
          <w:rFonts w:ascii="Times New Roman" w:eastAsia="Times New Roman" w:hAnsi="Times New Roman" w:cs="Times New Roman"/>
          <w:color w:val="222222"/>
          <w:sz w:val="24"/>
          <w:szCs w:val="24"/>
        </w:rPr>
      </w:pPr>
      <w:r w:rsidRPr="00912C1E">
        <w:rPr>
          <w:rFonts w:ascii="Times New Roman" w:eastAsia="Times New Roman" w:hAnsi="Times New Roman" w:cs="Times New Roman"/>
          <w:noProof/>
          <w:color w:val="0B0080"/>
          <w:sz w:val="24"/>
          <w:szCs w:val="24"/>
        </w:rPr>
        <w:drawing>
          <wp:inline distT="0" distB="0" distL="0" distR="0" wp14:anchorId="2AFE9BCE" wp14:editId="04ABF70C">
            <wp:extent cx="1906270" cy="1725295"/>
            <wp:effectExtent l="0" t="0" r="0" b="8255"/>
            <wp:docPr id="3" name="Picture 3" descr="https://upload.wikimedia.org/wikipedia/commons/thumb/1/1e/Imatinib.svg/200px-Imatinib.svg.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e/Imatinib.svg/200px-Imatinib.svg.pn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6270" cy="1725295"/>
                    </a:xfrm>
                    <a:prstGeom prst="rect">
                      <a:avLst/>
                    </a:prstGeom>
                    <a:noFill/>
                    <a:ln>
                      <a:noFill/>
                    </a:ln>
                  </pic:spPr>
                </pic:pic>
              </a:graphicData>
            </a:graphic>
          </wp:inline>
        </w:drawing>
      </w:r>
    </w:p>
    <w:p w:rsidR="00912C1E" w:rsidRPr="00912C1E" w:rsidRDefault="00912C1E" w:rsidP="00912C1E">
      <w:pPr>
        <w:shd w:val="clear" w:color="auto" w:fill="F8F9FA"/>
        <w:spacing w:after="0" w:line="336" w:lineRule="atLeast"/>
        <w:jc w:val="both"/>
        <w:rPr>
          <w:rFonts w:ascii="Times New Roman" w:eastAsia="Times New Roman" w:hAnsi="Times New Roman" w:cs="Times New Roman"/>
          <w:color w:val="222222"/>
          <w:sz w:val="24"/>
          <w:szCs w:val="24"/>
        </w:rPr>
      </w:pPr>
      <w:proofErr w:type="gramStart"/>
      <w:r w:rsidRPr="00912C1E">
        <w:rPr>
          <w:rFonts w:ascii="Times New Roman" w:eastAsia="Times New Roman" w:hAnsi="Times New Roman" w:cs="Times New Roman"/>
          <w:color w:val="222222"/>
          <w:sz w:val="24"/>
          <w:szCs w:val="24"/>
        </w:rPr>
        <w:t>The </w:t>
      </w:r>
      <w:hyperlink r:id="rId43" w:tooltip="Free base" w:history="1">
        <w:r w:rsidRPr="00912C1E">
          <w:rPr>
            <w:rFonts w:ascii="Times New Roman" w:eastAsia="Times New Roman" w:hAnsi="Times New Roman" w:cs="Times New Roman"/>
            <w:color w:val="0B0080"/>
            <w:sz w:val="24"/>
            <w:szCs w:val="24"/>
            <w:u w:val="single"/>
          </w:rPr>
          <w:t>free base</w:t>
        </w:r>
      </w:hyperlink>
      <w:r w:rsidRPr="00912C1E">
        <w:rPr>
          <w:rFonts w:ascii="Times New Roman" w:eastAsia="Times New Roman" w:hAnsi="Times New Roman" w:cs="Times New Roman"/>
          <w:color w:val="222222"/>
          <w:sz w:val="24"/>
          <w:szCs w:val="24"/>
        </w:rPr>
        <w:t> form of anti-cancer agent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"https://en.wikipedia.org/wiki/Imatinib" \o "Imatinib"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imatinib</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w:t>
      </w:r>
      <w:proofErr w:type="gram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is a </w:t>
      </w:r>
      <w:hyperlink r:id="rId44" w:tooltip="Salt (chemistry)" w:history="1">
        <w:r w:rsidRPr="00912C1E">
          <w:rPr>
            <w:rFonts w:ascii="Times New Roman" w:eastAsia="Times New Roman" w:hAnsi="Times New Roman" w:cs="Times New Roman"/>
            <w:color w:val="0B0080"/>
            <w:sz w:val="24"/>
            <w:szCs w:val="24"/>
            <w:u w:val="single"/>
          </w:rPr>
          <w:t>salt</w:t>
        </w:r>
      </w:hyperlink>
      <w:r w:rsidRPr="00912C1E">
        <w:rPr>
          <w:rFonts w:ascii="Times New Roman" w:eastAsia="Times New Roman" w:hAnsi="Times New Roman" w:cs="Times New Roman"/>
          <w:color w:val="222222"/>
          <w:sz w:val="24"/>
          <w:szCs w:val="24"/>
        </w:rPr>
        <w:t xml:space="preserve"> formed by a 1:1 reaction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and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"https://en.wikipedia.org/wiki/Methanesulfonic_acid" \o "Methanesulfonic acid"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methanesulfonic</w:t>
      </w:r>
      <w:proofErr w:type="spellEnd"/>
      <w:r w:rsidRPr="00912C1E">
        <w:rPr>
          <w:rFonts w:ascii="Times New Roman" w:eastAsia="Times New Roman" w:hAnsi="Times New Roman" w:cs="Times New Roman"/>
          <w:color w:val="0B0080"/>
          <w:sz w:val="24"/>
          <w:szCs w:val="24"/>
          <w:u w:val="single"/>
        </w:rPr>
        <w:t xml:space="preserve"> acid</w:t>
      </w:r>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Before the High Court could decide on the issue of patentability, the Intellectual Property Appellate Board (IPAB) was formed and in 2007 the case was transferred before the IPAB in line with section 117G of the Indian Patent Act. The IPAB on 26 June 2009 modified the decision of the Assistant Controller of Patents and Designs stating that ingredients for grant of patent </w:t>
      </w:r>
      <w:r w:rsidRPr="00912C1E">
        <w:rPr>
          <w:rFonts w:ascii="Times New Roman" w:eastAsia="Times New Roman" w:hAnsi="Times New Roman" w:cs="Times New Roman"/>
          <w:i/>
          <w:iCs/>
          <w:color w:val="222222"/>
          <w:sz w:val="24"/>
          <w:szCs w:val="24"/>
        </w:rPr>
        <w:t>novelty</w:t>
      </w:r>
      <w:r w:rsidRPr="00912C1E">
        <w:rPr>
          <w:rFonts w:ascii="Times New Roman" w:eastAsia="Times New Roman" w:hAnsi="Times New Roman" w:cs="Times New Roman"/>
          <w:color w:val="222222"/>
          <w:sz w:val="24"/>
          <w:szCs w:val="24"/>
        </w:rPr>
        <w:t> and </w:t>
      </w:r>
      <w:proofErr w:type="spellStart"/>
      <w:r w:rsidRPr="00912C1E">
        <w:rPr>
          <w:rFonts w:ascii="Times New Roman" w:eastAsia="Times New Roman" w:hAnsi="Times New Roman" w:cs="Times New Roman"/>
          <w:i/>
          <w:iCs/>
          <w:color w:val="222222"/>
          <w:sz w:val="24"/>
          <w:szCs w:val="24"/>
        </w:rPr>
        <w:t>non obviousness</w:t>
      </w:r>
      <w:proofErr w:type="spellEnd"/>
      <w:r w:rsidRPr="00912C1E">
        <w:rPr>
          <w:rFonts w:ascii="Times New Roman" w:eastAsia="Times New Roman" w:hAnsi="Times New Roman" w:cs="Times New Roman"/>
          <w:i/>
          <w:iCs/>
          <w:color w:val="222222"/>
          <w:sz w:val="24"/>
          <w:szCs w:val="24"/>
        </w:rPr>
        <w:t xml:space="preserve"> to person skilled in the art</w:t>
      </w:r>
      <w:r w:rsidRPr="00912C1E">
        <w:rPr>
          <w:rFonts w:ascii="Times New Roman" w:eastAsia="Times New Roman" w:hAnsi="Times New Roman" w:cs="Times New Roman"/>
          <w:color w:val="222222"/>
          <w:sz w:val="24"/>
          <w:szCs w:val="24"/>
        </w:rPr>
        <w:t xml:space="preserve"> were present in the application but rejected the application on the ground that the drug is not a new substance but an amended version of a known compound and that Novartis was unable to show any </w:t>
      </w:r>
      <w:r w:rsidRPr="00912C1E">
        <w:rPr>
          <w:rFonts w:ascii="Times New Roman" w:eastAsia="Times New Roman" w:hAnsi="Times New Roman" w:cs="Times New Roman"/>
          <w:color w:val="222222"/>
          <w:sz w:val="24"/>
          <w:szCs w:val="24"/>
        </w:rPr>
        <w:lastRenderedPageBreak/>
        <w:t xml:space="preserve">significant increase in the efficacy of the drug and it, therefore, failed the test laid down by section 3(d) of the Indian Patents Act.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Novartis mounted a separate and concurrent litigation before the Madras High Court arguing that section 3(d) of the Indian Patents Act is violated Article 14 of the Indian constitution because the definition of "enhanced efficacy" was too vague and left too much power in the hands of the patent examiner, and was in violation of India's obligations under the TRIPs agreement because it rendered inventions that should be patentable, </w:t>
      </w:r>
      <w:proofErr w:type="spellStart"/>
      <w:r w:rsidRPr="00912C1E">
        <w:rPr>
          <w:rFonts w:ascii="Times New Roman" w:eastAsia="Times New Roman" w:hAnsi="Times New Roman" w:cs="Times New Roman"/>
          <w:color w:val="222222"/>
          <w:sz w:val="24"/>
          <w:szCs w:val="24"/>
        </w:rPr>
        <w:t>unpatentable</w:t>
      </w:r>
      <w:proofErr w:type="spellEnd"/>
      <w:r w:rsidRPr="00912C1E">
        <w:rPr>
          <w:rFonts w:ascii="Times New Roman" w:eastAsia="Times New Roman" w:hAnsi="Times New Roman" w:cs="Times New Roman"/>
          <w:color w:val="222222"/>
          <w:sz w:val="24"/>
          <w:szCs w:val="24"/>
        </w:rPr>
        <w:t>, and argued that the Court was the proper venue for hearing the claim concerning violation of TRIPS. Counsel for the Indian government argued that any violation of TRIPS belonged before the Dispute Settlement Board established by TRIPS, not before the Court, and that in any case, TRIPS allowed national laws to address the needs of its citizens; with respect to the claim that the amended law was arbitrary, counsel argued that "enhanced efficacy" is well understood in the pharmaceutical arts. In 2007 the High Court decided, agreeing with Novartis that it had the right to hear the case, and agreeing with counsel for the Indian government that the law was not vague, and that the law complied with TRIPS, and observed that section 3(d) aims to prevent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"https://en.wikipedia.org/wiki/Evergreening" \o "Evergreening"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evergreening</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and to provide easy access for Indian citizens to life saving drugs.</w:t>
      </w:r>
      <w:hyperlink r:id="rId45" w:anchor="cite_note-2007Decn-9" w:history="1">
        <w:r w:rsidRPr="00912C1E">
          <w:rPr>
            <w:rFonts w:ascii="Times New Roman" w:eastAsia="Times New Roman" w:hAnsi="Times New Roman" w:cs="Times New Roman"/>
            <w:color w:val="0B0080"/>
            <w:sz w:val="24"/>
            <w:szCs w:val="24"/>
            <w:u w:val="single"/>
            <w:vertAlign w:val="superscript"/>
          </w:rPr>
          <w:t>[9]</w:t>
        </w:r>
      </w:hyperlink>
      <w:r w:rsidRPr="00912C1E">
        <w:rPr>
          <w:rFonts w:ascii="Times New Roman" w:eastAsia="Times New Roman" w:hAnsi="Times New Roman" w:cs="Times New Roman"/>
          <w:color w:val="222222"/>
          <w:sz w:val="24"/>
          <w:szCs w:val="24"/>
        </w:rPr>
        <w:t> Novartis did not further challenge this order.</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After IPAB rejected the patent application in 2009, Novartis appealed directly before the Supreme Court through a Special Leave Petition (SLP) under Article 136 of the </w:t>
      </w:r>
      <w:hyperlink r:id="rId46" w:tooltip="Indian Constitution" w:history="1">
        <w:r w:rsidRPr="00912C1E">
          <w:rPr>
            <w:rFonts w:ascii="Times New Roman" w:eastAsia="Times New Roman" w:hAnsi="Times New Roman" w:cs="Times New Roman"/>
            <w:color w:val="0B0080"/>
            <w:sz w:val="24"/>
            <w:szCs w:val="24"/>
            <w:u w:val="single"/>
          </w:rPr>
          <w:t>Indian Constitution</w:t>
        </w:r>
      </w:hyperlink>
      <w:r w:rsidRPr="00912C1E">
        <w:rPr>
          <w:rFonts w:ascii="Times New Roman" w:eastAsia="Times New Roman" w:hAnsi="Times New Roman" w:cs="Times New Roman"/>
          <w:color w:val="222222"/>
          <w:sz w:val="24"/>
          <w:szCs w:val="24"/>
        </w:rPr>
        <w:t>; under normal circumstances, an appeal from IPAB should have been before one of the </w:t>
      </w:r>
      <w:hyperlink r:id="rId47" w:tooltip="List of High Courts of India" w:history="1">
        <w:r w:rsidRPr="00912C1E">
          <w:rPr>
            <w:rFonts w:ascii="Times New Roman" w:eastAsia="Times New Roman" w:hAnsi="Times New Roman" w:cs="Times New Roman"/>
            <w:color w:val="0B0080"/>
            <w:sz w:val="24"/>
            <w:szCs w:val="24"/>
            <w:u w:val="single"/>
          </w:rPr>
          <w:t>High Courts</w:t>
        </w:r>
      </w:hyperlink>
      <w:r w:rsidRPr="00912C1E">
        <w:rPr>
          <w:rFonts w:ascii="Times New Roman" w:eastAsia="Times New Roman" w:hAnsi="Times New Roman" w:cs="Times New Roman"/>
          <w:color w:val="222222"/>
          <w:sz w:val="24"/>
          <w:szCs w:val="24"/>
        </w:rPr>
        <w:t> before it could proceed to the Supreme Court. However the patent if granted on appeal would expire by 2018 and thus any further appeal at that stage would be pointless. Considering this urgency and the need for an authoritative decision on section 3(d) (other cases on this issue were pending before various High courts), the Supreme Court granted special leave to bypass the High Court appeals process and come directly before it.</w:t>
      </w:r>
    </w:p>
    <w:p w:rsid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b/>
          <w:color w:val="000000"/>
          <w:sz w:val="24"/>
          <w:szCs w:val="24"/>
        </w:rPr>
      </w:pPr>
    </w:p>
    <w:p w:rsidR="00912C1E" w:rsidRP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b/>
          <w:color w:val="000000"/>
          <w:sz w:val="24"/>
          <w:szCs w:val="24"/>
        </w:rPr>
      </w:pPr>
      <w:r w:rsidRPr="00912C1E">
        <w:rPr>
          <w:rFonts w:ascii="Times New Roman" w:eastAsia="Times New Roman" w:hAnsi="Times New Roman" w:cs="Times New Roman"/>
          <w:b/>
          <w:color w:val="000000"/>
          <w:sz w:val="24"/>
          <w:szCs w:val="24"/>
        </w:rPr>
        <w:t>Arguments before the Supreme Court</w:t>
      </w: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[Novartis</w:t>
      </w:r>
      <w:r w:rsidRPr="00912C1E">
        <w:rPr>
          <w:rFonts w:ascii="Times New Roman" w:eastAsia="Times New Roman" w:hAnsi="Times New Roman" w:cs="Times New Roman"/>
          <w:color w:val="54595D"/>
          <w:sz w:val="24"/>
          <w:szCs w:val="24"/>
        </w:rPr>
        <w:t>]</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The legal team of Novartis was led by ex-</w:t>
      </w:r>
      <w:hyperlink r:id="rId48" w:tooltip="Solicitor General of India" w:history="1">
        <w:r w:rsidRPr="00912C1E">
          <w:rPr>
            <w:rFonts w:ascii="Times New Roman" w:eastAsia="Times New Roman" w:hAnsi="Times New Roman" w:cs="Times New Roman"/>
            <w:color w:val="0B0080"/>
            <w:sz w:val="24"/>
            <w:szCs w:val="24"/>
            <w:u w:val="single"/>
          </w:rPr>
          <w:t>Solicitor General of India</w:t>
        </w:r>
      </w:hyperlink>
      <w:r w:rsidRPr="00912C1E">
        <w:rPr>
          <w:rFonts w:ascii="Times New Roman" w:eastAsia="Times New Roman" w:hAnsi="Times New Roman" w:cs="Times New Roman"/>
          <w:color w:val="222222"/>
          <w:sz w:val="24"/>
          <w:szCs w:val="24"/>
        </w:rPr>
        <w:t>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"https://en.wikipedia.org/wiki/Gopal_Subramaniam" \o "Gopal Subramaniam"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Gopal</w:t>
      </w:r>
      <w:proofErr w:type="spellEnd"/>
      <w:r w:rsidRPr="00912C1E">
        <w:rPr>
          <w:rFonts w:ascii="Times New Roman" w:eastAsia="Times New Roman" w:hAnsi="Times New Roman" w:cs="Times New Roman"/>
          <w:color w:val="0B0080"/>
          <w:sz w:val="24"/>
          <w:szCs w:val="24"/>
          <w:u w:val="single"/>
        </w:rPr>
        <w:t xml:space="preserve"> </w:t>
      </w:r>
      <w:proofErr w:type="spellStart"/>
      <w:r w:rsidRPr="00912C1E">
        <w:rPr>
          <w:rFonts w:ascii="Times New Roman" w:eastAsia="Times New Roman" w:hAnsi="Times New Roman" w:cs="Times New Roman"/>
          <w:color w:val="0B0080"/>
          <w:sz w:val="24"/>
          <w:szCs w:val="24"/>
          <w:u w:val="single"/>
        </w:rPr>
        <w:t>Subramaniam</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and senior advocate </w:t>
      </w:r>
      <w:hyperlink r:id="rId49" w:tooltip="T. R. Andhyarujina" w:history="1">
        <w:r w:rsidRPr="00912C1E">
          <w:rPr>
            <w:rFonts w:ascii="Times New Roman" w:eastAsia="Times New Roman" w:hAnsi="Times New Roman" w:cs="Times New Roman"/>
            <w:color w:val="0B0080"/>
            <w:sz w:val="24"/>
            <w:szCs w:val="24"/>
            <w:u w:val="single"/>
          </w:rPr>
          <w:t xml:space="preserve">T. R. </w:t>
        </w:r>
        <w:proofErr w:type="spellStart"/>
        <w:r w:rsidRPr="00912C1E">
          <w:rPr>
            <w:rFonts w:ascii="Times New Roman" w:eastAsia="Times New Roman" w:hAnsi="Times New Roman" w:cs="Times New Roman"/>
            <w:color w:val="0B0080"/>
            <w:sz w:val="24"/>
            <w:szCs w:val="24"/>
            <w:u w:val="single"/>
          </w:rPr>
          <w:t>Andhyarujina</w:t>
        </w:r>
        <w:proofErr w:type="spellEnd"/>
      </w:hyperlink>
      <w:r w:rsidRPr="00912C1E">
        <w:rPr>
          <w:rFonts w:ascii="Times New Roman" w:eastAsia="Times New Roman" w:hAnsi="Times New Roman" w:cs="Times New Roman"/>
          <w:color w:val="222222"/>
          <w:sz w:val="24"/>
          <w:szCs w:val="24"/>
        </w:rPr>
        <w:t>.</w:t>
      </w:r>
      <w:hyperlink r:id="rId50" w:anchor="cite_note-barandbench-34" w:history="1">
        <w:r w:rsidRPr="00912C1E">
          <w:rPr>
            <w:rFonts w:ascii="Times New Roman" w:eastAsia="Times New Roman" w:hAnsi="Times New Roman" w:cs="Times New Roman"/>
            <w:color w:val="0B0080"/>
            <w:sz w:val="24"/>
            <w:szCs w:val="24"/>
            <w:u w:val="single"/>
            <w:vertAlign w:val="superscript"/>
          </w:rPr>
          <w:t>[34]</w:t>
        </w:r>
      </w:hyperlink>
      <w:r w:rsidRPr="00912C1E">
        <w:rPr>
          <w:rFonts w:ascii="Times New Roman" w:eastAsia="Times New Roman" w:hAnsi="Times New Roman" w:cs="Times New Roman"/>
          <w:color w:val="222222"/>
          <w:sz w:val="24"/>
          <w:szCs w:val="24"/>
        </w:rPr>
        <w:t xml:space="preserve"> Novartis had attempted to patent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beta crystalline form (rather than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or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thus they sought to prevent extant literature on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or </w:t>
      </w:r>
      <w:proofErr w:type="spellStart"/>
      <w:r w:rsidRPr="00912C1E">
        <w:rPr>
          <w:rFonts w:ascii="Times New Roman" w:eastAsia="Times New Roman" w:hAnsi="Times New Roman" w:cs="Times New Roman"/>
          <w:color w:val="222222"/>
          <w:sz w:val="24"/>
          <w:szCs w:val="24"/>
        </w:rPr>
        <w:t>imatininb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from being considered as </w:t>
      </w:r>
      <w:hyperlink r:id="rId51" w:tooltip="Prior art" w:history="1">
        <w:r w:rsidRPr="00912C1E">
          <w:rPr>
            <w:rFonts w:ascii="Times New Roman" w:eastAsia="Times New Roman" w:hAnsi="Times New Roman" w:cs="Times New Roman"/>
            <w:color w:val="0B0080"/>
            <w:sz w:val="24"/>
            <w:szCs w:val="24"/>
            <w:u w:val="single"/>
          </w:rPr>
          <w:t>prior art</w:t>
        </w:r>
      </w:hyperlink>
      <w:r w:rsidRPr="00912C1E">
        <w:rPr>
          <w:rFonts w:ascii="Times New Roman" w:eastAsia="Times New Roman" w:hAnsi="Times New Roman" w:cs="Times New Roman"/>
          <w:color w:val="222222"/>
          <w:sz w:val="24"/>
          <w:szCs w:val="24"/>
        </w:rPr>
        <w:t>. The thrust of the arguments by Novartis' legal team was two-fold: firstly, that the Zimmerman patents and the journal articles published by Zimmerman et al. do not constitute prior art for the beta crystalline form as it is only one </w:t>
      </w:r>
      <w:hyperlink r:id="rId52" w:tooltip="Polymorphism (materials science)" w:history="1">
        <w:r w:rsidRPr="00912C1E">
          <w:rPr>
            <w:rFonts w:ascii="Times New Roman" w:eastAsia="Times New Roman" w:hAnsi="Times New Roman" w:cs="Times New Roman"/>
            <w:color w:val="0B0080"/>
            <w:sz w:val="24"/>
            <w:szCs w:val="24"/>
            <w:u w:val="single"/>
          </w:rPr>
          <w:t>polymorph</w:t>
        </w:r>
      </w:hyperlink>
      <w:r w:rsidRPr="00912C1E">
        <w:rPr>
          <w:rFonts w:ascii="Times New Roman" w:eastAsia="Times New Roman" w:hAnsi="Times New Roman" w:cs="Times New Roman"/>
          <w:color w:val="222222"/>
          <w:sz w:val="24"/>
          <w:szCs w:val="24"/>
        </w:rPr>
        <w:t xml:space="preserve">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thereby providing the required novelty and </w:t>
      </w:r>
      <w:hyperlink r:id="rId53" w:anchor="Invention_as_defined_by_patent_law" w:tooltip="Invention" w:history="1">
        <w:r w:rsidRPr="00912C1E">
          <w:rPr>
            <w:rFonts w:ascii="Times New Roman" w:eastAsia="Times New Roman" w:hAnsi="Times New Roman" w:cs="Times New Roman"/>
            <w:color w:val="0B0080"/>
            <w:sz w:val="24"/>
            <w:szCs w:val="24"/>
            <w:u w:val="single"/>
          </w:rPr>
          <w:t>inventive step</w:t>
        </w:r>
      </w:hyperlink>
      <w:r w:rsidRPr="00912C1E">
        <w:rPr>
          <w:rFonts w:ascii="Times New Roman" w:eastAsia="Times New Roman" w:hAnsi="Times New Roman" w:cs="Times New Roman"/>
          <w:color w:val="222222"/>
          <w:sz w:val="24"/>
          <w:szCs w:val="24"/>
        </w:rPr>
        <w:t xml:space="preserve">; and secondly, that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beta crystalline form has enhanced efficacy over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or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to pass the test of section 3(d).</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To prove novelty and inventive step it was argued that the Zimmermann patent did not teach or suggest to a person skilled in the art to select the beta crystalline form in preference to other compounds of which examples were given in the Zimmermann patent. Further, even if the beta crystalline form was selected, the Zimmermann patent did not teach a person to how to prepare that particular polymorph of the salt. Having arrived at the beta crystal form of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"https://en.wikipedia.org/wiki/Methanesulfonic_acid" \o "Methanesulfonic acid"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methanesulfonic</w:t>
      </w:r>
      <w:proofErr w:type="spellEnd"/>
      <w:r w:rsidRPr="00912C1E">
        <w:rPr>
          <w:rFonts w:ascii="Times New Roman" w:eastAsia="Times New Roman" w:hAnsi="Times New Roman" w:cs="Times New Roman"/>
          <w:color w:val="0B0080"/>
          <w:sz w:val="24"/>
          <w:szCs w:val="24"/>
          <w:u w:val="single"/>
        </w:rPr>
        <w:t xml:space="preserve"> acid</w:t>
      </w:r>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addition salt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salt)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Novartis contended that the inventors had to further research to be able to ensure that particular salt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was suitable for administration in a solid oral dosage form. Hence, the coming into being of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from the free base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was the result of an invention that involved technical advance as compared to the existing knowledge and brought into existence a new substance. Research was required to define and </w:t>
      </w:r>
      <w:proofErr w:type="spellStart"/>
      <w:r w:rsidRPr="00912C1E">
        <w:rPr>
          <w:rFonts w:ascii="Times New Roman" w:eastAsia="Times New Roman" w:hAnsi="Times New Roman" w:cs="Times New Roman"/>
          <w:color w:val="222222"/>
          <w:sz w:val="24"/>
          <w:szCs w:val="24"/>
        </w:rPr>
        <w:t>optimise</w:t>
      </w:r>
      <w:proofErr w:type="spellEnd"/>
      <w:r w:rsidRPr="00912C1E">
        <w:rPr>
          <w:rFonts w:ascii="Times New Roman" w:eastAsia="Times New Roman" w:hAnsi="Times New Roman" w:cs="Times New Roman"/>
          <w:color w:val="222222"/>
          <w:sz w:val="24"/>
          <w:szCs w:val="24"/>
        </w:rPr>
        <w:t xml:space="preserve"> the process parameters to selectively prepare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As the </w:t>
      </w:r>
      <w:r w:rsidRPr="00912C1E">
        <w:rPr>
          <w:rFonts w:ascii="Times New Roman" w:eastAsia="Times New Roman" w:hAnsi="Times New Roman" w:cs="Times New Roman"/>
          <w:color w:val="222222"/>
          <w:sz w:val="24"/>
          <w:szCs w:val="24"/>
        </w:rPr>
        <w:lastRenderedPageBreak/>
        <w:t xml:space="preserve">Zimmermann patent contains no mention of polymorphism or crystalline structure, the relevant crystalline form that was synthesized needed to be invented. There was no way of predicting that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would possess the characteristics that would make it orally administrable to humans without going through the inventive steps.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To prove that the beta crystalline form enhanced efficacy over other polymorphs, it was stated that beta crystalline form has (i) more beneficial flow properties, (ii) better </w:t>
      </w:r>
      <w:hyperlink r:id="rId54" w:tooltip="Thermodynamic stability" w:history="1">
        <w:r w:rsidRPr="00912C1E">
          <w:rPr>
            <w:rFonts w:ascii="Times New Roman" w:eastAsia="Times New Roman" w:hAnsi="Times New Roman" w:cs="Times New Roman"/>
            <w:color w:val="0B0080"/>
            <w:sz w:val="24"/>
            <w:szCs w:val="24"/>
            <w:u w:val="single"/>
          </w:rPr>
          <w:t>thermodynamic stability</w:t>
        </w:r>
      </w:hyperlink>
      <w:r w:rsidRPr="00912C1E">
        <w:rPr>
          <w:rFonts w:ascii="Times New Roman" w:eastAsia="Times New Roman" w:hAnsi="Times New Roman" w:cs="Times New Roman"/>
          <w:color w:val="222222"/>
          <w:sz w:val="24"/>
          <w:szCs w:val="24"/>
        </w:rPr>
        <w:t>, (iii) lower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"https://en.wikipedia.org/wiki/Hygroscopicity" \o "Hygroscopicity"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hygroscopicity</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 and (iv) increased </w:t>
      </w:r>
      <w:hyperlink r:id="rId55" w:tooltip="Bioavailability" w:history="1">
        <w:r w:rsidRPr="00912C1E">
          <w:rPr>
            <w:rFonts w:ascii="Times New Roman" w:eastAsia="Times New Roman" w:hAnsi="Times New Roman" w:cs="Times New Roman"/>
            <w:color w:val="0B0080"/>
            <w:sz w:val="24"/>
            <w:szCs w:val="24"/>
            <w:u w:val="single"/>
          </w:rPr>
          <w:t>bioavailability</w:t>
        </w:r>
      </w:hyperlink>
      <w:r w:rsidRPr="00912C1E">
        <w:rPr>
          <w:rFonts w:ascii="Times New Roman" w:eastAsia="Times New Roman" w:hAnsi="Times New Roman" w:cs="Times New Roman"/>
          <w:color w:val="222222"/>
          <w:sz w:val="24"/>
          <w:szCs w:val="24"/>
        </w:rPr>
        <w:t xml:space="preserve">. </w:t>
      </w: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Respondents</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There were seven named respondents who were represented before the court along with two </w:t>
      </w:r>
      <w:proofErr w:type="spellStart"/>
      <w:r w:rsidRPr="00912C1E">
        <w:rPr>
          <w:rFonts w:ascii="Times New Roman" w:eastAsia="Times New Roman" w:hAnsi="Times New Roman" w:cs="Times New Roman"/>
          <w:color w:val="222222"/>
          <w:sz w:val="24"/>
          <w:szCs w:val="24"/>
        </w:rPr>
        <w:t>Intervenor</w:t>
      </w:r>
      <w:proofErr w:type="spellEnd"/>
      <w:r w:rsidRPr="00912C1E">
        <w:rPr>
          <w:rFonts w:ascii="Times New Roman" w:eastAsia="Times New Roman" w:hAnsi="Times New Roman" w:cs="Times New Roman"/>
          <w:color w:val="222222"/>
          <w:sz w:val="24"/>
          <w:szCs w:val="24"/>
        </w:rPr>
        <w:t>/Amicus. The respondents were led by Additional Solicitor General of India </w:t>
      </w:r>
      <w:proofErr w:type="spellStart"/>
      <w:r w:rsidRPr="00912C1E">
        <w:rPr>
          <w:rFonts w:ascii="Times New Roman" w:hAnsi="Times New Roman" w:cs="Times New Roman"/>
          <w:sz w:val="24"/>
          <w:szCs w:val="24"/>
        </w:rPr>
        <w:fldChar w:fldCharType="begin"/>
      </w:r>
      <w:r w:rsidRPr="00912C1E">
        <w:rPr>
          <w:rFonts w:ascii="Times New Roman" w:hAnsi="Times New Roman" w:cs="Times New Roman"/>
          <w:sz w:val="24"/>
          <w:szCs w:val="24"/>
        </w:rPr>
        <w:instrText xml:space="preserve"> HYPERLINK "https://en.wikipedia.org/wiki/Paras_Kuhad" \o "Paras Kuhad" </w:instrText>
      </w:r>
      <w:r w:rsidRPr="00912C1E">
        <w:rPr>
          <w:rFonts w:ascii="Times New Roman" w:hAnsi="Times New Roman" w:cs="Times New Roman"/>
          <w:sz w:val="24"/>
          <w:szCs w:val="24"/>
        </w:rPr>
        <w:fldChar w:fldCharType="separate"/>
      </w:r>
      <w:r w:rsidRPr="00912C1E">
        <w:rPr>
          <w:rFonts w:ascii="Times New Roman" w:eastAsia="Times New Roman" w:hAnsi="Times New Roman" w:cs="Times New Roman"/>
          <w:color w:val="0B0080"/>
          <w:sz w:val="24"/>
          <w:szCs w:val="24"/>
          <w:u w:val="single"/>
        </w:rPr>
        <w:t>Paras</w:t>
      </w:r>
      <w:proofErr w:type="spellEnd"/>
      <w:r w:rsidRPr="00912C1E">
        <w:rPr>
          <w:rFonts w:ascii="Times New Roman" w:eastAsia="Times New Roman" w:hAnsi="Times New Roman" w:cs="Times New Roman"/>
          <w:color w:val="0B0080"/>
          <w:sz w:val="24"/>
          <w:szCs w:val="24"/>
          <w:u w:val="single"/>
        </w:rPr>
        <w:t xml:space="preserve"> </w:t>
      </w:r>
      <w:proofErr w:type="spellStart"/>
      <w:r w:rsidRPr="00912C1E">
        <w:rPr>
          <w:rFonts w:ascii="Times New Roman" w:eastAsia="Times New Roman" w:hAnsi="Times New Roman" w:cs="Times New Roman"/>
          <w:color w:val="0B0080"/>
          <w:sz w:val="24"/>
          <w:szCs w:val="24"/>
          <w:u w:val="single"/>
        </w:rPr>
        <w:t>Kuhad</w:t>
      </w:r>
      <w:proofErr w:type="spellEnd"/>
      <w:r w:rsidRPr="00912C1E">
        <w:rPr>
          <w:rFonts w:ascii="Times New Roman" w:eastAsia="Times New Roman" w:hAnsi="Times New Roman" w:cs="Times New Roman"/>
          <w:color w:val="0B0080"/>
          <w:sz w:val="24"/>
          <w:szCs w:val="24"/>
          <w:u w:val="single"/>
        </w:rPr>
        <w:fldChar w:fldCharType="end"/>
      </w:r>
      <w:r w:rsidRPr="00912C1E">
        <w:rPr>
          <w:rFonts w:ascii="Times New Roman" w:eastAsia="Times New Roman" w:hAnsi="Times New Roman" w:cs="Times New Roman"/>
          <w:color w:val="222222"/>
          <w:sz w:val="24"/>
          <w:szCs w:val="24"/>
        </w:rPr>
        <w:t>.</w:t>
      </w:r>
      <w:hyperlink r:id="rId56" w:anchor="cite_note-barandbench-34" w:history="1">
        <w:r w:rsidRPr="00912C1E">
          <w:rPr>
            <w:rFonts w:ascii="Times New Roman" w:eastAsia="Times New Roman" w:hAnsi="Times New Roman" w:cs="Times New Roman"/>
            <w:color w:val="0B0080"/>
            <w:sz w:val="24"/>
            <w:szCs w:val="24"/>
            <w:u w:val="single"/>
            <w:vertAlign w:val="superscript"/>
          </w:rPr>
          <w:t>[34]</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Various arguments were brought before the court but primarily </w:t>
      </w:r>
      <w:proofErr w:type="spellStart"/>
      <w:r w:rsidRPr="00912C1E">
        <w:rPr>
          <w:rFonts w:ascii="Times New Roman" w:eastAsia="Times New Roman" w:hAnsi="Times New Roman" w:cs="Times New Roman"/>
          <w:color w:val="222222"/>
          <w:sz w:val="24"/>
          <w:szCs w:val="24"/>
        </w:rPr>
        <w:t>focussed</w:t>
      </w:r>
      <w:proofErr w:type="spellEnd"/>
      <w:r w:rsidRPr="00912C1E">
        <w:rPr>
          <w:rFonts w:ascii="Times New Roman" w:eastAsia="Times New Roman" w:hAnsi="Times New Roman" w:cs="Times New Roman"/>
          <w:color w:val="222222"/>
          <w:sz w:val="24"/>
          <w:szCs w:val="24"/>
        </w:rPr>
        <w:t xml:space="preserve"> on proving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beta crystalline form is neither novel nor is it non-obvious due to publications about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w:t>
      </w:r>
      <w:hyperlink r:id="rId57" w:tooltip="Cancer Research (journal)" w:history="1">
        <w:r w:rsidRPr="00912C1E">
          <w:rPr>
            <w:rFonts w:ascii="Times New Roman" w:eastAsia="Times New Roman" w:hAnsi="Times New Roman" w:cs="Times New Roman"/>
            <w:i/>
            <w:iCs/>
            <w:color w:val="0B0080"/>
            <w:sz w:val="24"/>
            <w:szCs w:val="24"/>
            <w:u w:val="single"/>
          </w:rPr>
          <w:t>Cancer Research</w:t>
        </w:r>
      </w:hyperlink>
      <w:r w:rsidRPr="00912C1E">
        <w:rPr>
          <w:rFonts w:ascii="Times New Roman" w:eastAsia="Times New Roman" w:hAnsi="Times New Roman" w:cs="Times New Roman"/>
          <w:color w:val="222222"/>
          <w:sz w:val="24"/>
          <w:szCs w:val="24"/>
        </w:rPr>
        <w:t> and </w:t>
      </w:r>
      <w:hyperlink r:id="rId58" w:tooltip="Nature (journal)" w:history="1">
        <w:r w:rsidRPr="00912C1E">
          <w:rPr>
            <w:rFonts w:ascii="Times New Roman" w:eastAsia="Times New Roman" w:hAnsi="Times New Roman" w:cs="Times New Roman"/>
            <w:i/>
            <w:iCs/>
            <w:color w:val="0B0080"/>
            <w:sz w:val="24"/>
            <w:szCs w:val="24"/>
            <w:u w:val="single"/>
          </w:rPr>
          <w:t>Nature</w:t>
        </w:r>
      </w:hyperlink>
      <w:r w:rsidRPr="00912C1E">
        <w:rPr>
          <w:rFonts w:ascii="Times New Roman" w:eastAsia="Times New Roman" w:hAnsi="Times New Roman" w:cs="Times New Roman"/>
          <w:color w:val="222222"/>
          <w:sz w:val="24"/>
          <w:szCs w:val="24"/>
        </w:rPr>
        <w:t> in 1996, disclosures in Zimmerman patents, disclosures to FDA and finally that efficacy as referred to in section 3(d) should be interpreted as therapeutic efficacy and not merely a physical efficacy.</w:t>
      </w:r>
      <w:hyperlink r:id="rId59" w:anchor="cite_note-36" w:history="1">
        <w:r w:rsidRPr="00912C1E">
          <w:rPr>
            <w:rFonts w:ascii="Times New Roman" w:eastAsia="Times New Roman" w:hAnsi="Times New Roman" w:cs="Times New Roman"/>
            <w:color w:val="0B0080"/>
            <w:sz w:val="24"/>
            <w:szCs w:val="24"/>
            <w:u w:val="single"/>
            <w:vertAlign w:val="superscript"/>
          </w:rPr>
          <w:t>[36]</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The respondents quoted extensively from </w:t>
      </w:r>
      <w:hyperlink r:id="rId60" w:tooltip="Doha Declaration" w:history="1">
        <w:r w:rsidRPr="00912C1E">
          <w:rPr>
            <w:rFonts w:ascii="Times New Roman" w:eastAsia="Times New Roman" w:hAnsi="Times New Roman" w:cs="Times New Roman"/>
            <w:color w:val="0B0080"/>
            <w:sz w:val="24"/>
            <w:szCs w:val="24"/>
            <w:u w:val="single"/>
          </w:rPr>
          <w:t>Doha Declaration</w:t>
        </w:r>
      </w:hyperlink>
      <w:r w:rsidRPr="00912C1E">
        <w:rPr>
          <w:rFonts w:ascii="Times New Roman" w:eastAsia="Times New Roman" w:hAnsi="Times New Roman" w:cs="Times New Roman"/>
          <w:color w:val="222222"/>
          <w:sz w:val="24"/>
          <w:szCs w:val="24"/>
        </w:rPr>
        <w:t>, excerpts from parliamentary debates, petitions from NGOs, WHO, etc. to highlight the public policy dimension of arguments in regards to easy affordability and availability of life saving drugs.</w:t>
      </w:r>
    </w:p>
    <w:p w:rsid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b/>
          <w:color w:val="000000"/>
          <w:sz w:val="24"/>
          <w:szCs w:val="24"/>
        </w:rPr>
      </w:pPr>
    </w:p>
    <w:p w:rsidR="00912C1E" w:rsidRP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b/>
          <w:color w:val="000000"/>
          <w:sz w:val="24"/>
          <w:szCs w:val="24"/>
        </w:rPr>
      </w:pPr>
      <w:r w:rsidRPr="00912C1E">
        <w:rPr>
          <w:rFonts w:ascii="Times New Roman" w:eastAsia="Times New Roman" w:hAnsi="Times New Roman" w:cs="Times New Roman"/>
          <w:b/>
          <w:color w:val="000000"/>
          <w:sz w:val="24"/>
          <w:szCs w:val="24"/>
        </w:rPr>
        <w:t>Supreme Court decision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Supreme Court decided the matter </w:t>
      </w:r>
      <w:hyperlink r:id="rId61" w:anchor="De_novo" w:tooltip="De novo review" w:history="1">
        <w:r w:rsidRPr="00912C1E">
          <w:rPr>
            <w:rFonts w:ascii="Times New Roman" w:eastAsia="Times New Roman" w:hAnsi="Times New Roman" w:cs="Times New Roman"/>
            <w:i/>
            <w:iCs/>
            <w:color w:val="0B0080"/>
            <w:sz w:val="24"/>
            <w:szCs w:val="24"/>
            <w:u w:val="single"/>
          </w:rPr>
          <w:t>de novo</w:t>
        </w:r>
      </w:hyperlink>
      <w:r w:rsidRPr="00912C1E">
        <w:rPr>
          <w:rFonts w:ascii="Times New Roman" w:eastAsia="Times New Roman" w:hAnsi="Times New Roman" w:cs="Times New Roman"/>
          <w:color w:val="222222"/>
          <w:sz w:val="24"/>
          <w:szCs w:val="24"/>
        </w:rPr>
        <w:t> looking into matters of both fact and law.</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The court first analyzed the question of prior art by looking into Zimmerman patent and the related academic publications. It was clear from the Zimmerman patent that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itself was not new and did not qualify the test of </w:t>
      </w:r>
      <w:r w:rsidRPr="00912C1E">
        <w:rPr>
          <w:rFonts w:ascii="Times New Roman" w:eastAsia="Times New Roman" w:hAnsi="Times New Roman" w:cs="Times New Roman"/>
          <w:i/>
          <w:iCs/>
          <w:color w:val="222222"/>
          <w:sz w:val="24"/>
          <w:szCs w:val="24"/>
        </w:rPr>
        <w:t>invention</w:t>
      </w:r>
      <w:r w:rsidRPr="00912C1E">
        <w:rPr>
          <w:rFonts w:ascii="Times New Roman" w:eastAsia="Times New Roman" w:hAnsi="Times New Roman" w:cs="Times New Roman"/>
          <w:color w:val="222222"/>
          <w:sz w:val="24"/>
          <w:szCs w:val="24"/>
        </w:rPr>
        <w:t> as laid down in section 2(1)(j) and section 2(1)(</w:t>
      </w:r>
      <w:proofErr w:type="spellStart"/>
      <w:r w:rsidRPr="00912C1E">
        <w:rPr>
          <w:rFonts w:ascii="Times New Roman" w:eastAsia="Times New Roman" w:hAnsi="Times New Roman" w:cs="Times New Roman"/>
          <w:color w:val="222222"/>
          <w:sz w:val="24"/>
          <w:szCs w:val="24"/>
        </w:rPr>
        <w:t>ja</w:t>
      </w:r>
      <w:proofErr w:type="spellEnd"/>
      <w:r w:rsidRPr="00912C1E">
        <w:rPr>
          <w:rFonts w:ascii="Times New Roman" w:eastAsia="Times New Roman" w:hAnsi="Times New Roman" w:cs="Times New Roman"/>
          <w:color w:val="222222"/>
          <w:sz w:val="24"/>
          <w:szCs w:val="24"/>
        </w:rPr>
        <w:t>) of the Patents Act, 1970.</w:t>
      </w:r>
      <w:hyperlink r:id="rId62" w:anchor="cite_note-37" w:history="1">
        <w:r w:rsidRPr="00912C1E">
          <w:rPr>
            <w:rFonts w:ascii="Times New Roman" w:eastAsia="Times New Roman" w:hAnsi="Times New Roman" w:cs="Times New Roman"/>
            <w:color w:val="0B0080"/>
            <w:sz w:val="24"/>
            <w:szCs w:val="24"/>
            <w:u w:val="single"/>
            <w:vertAlign w:val="superscript"/>
          </w:rPr>
          <w:t>[37]</w:t>
        </w:r>
      </w:hyperlink>
      <w:r w:rsidRPr="00912C1E">
        <w:rPr>
          <w:rFonts w:ascii="Times New Roman" w:eastAsia="Times New Roman" w:hAnsi="Times New Roman" w:cs="Times New Roman"/>
          <w:color w:val="222222"/>
          <w:sz w:val="24"/>
          <w:szCs w:val="24"/>
        </w:rPr>
        <w:t xml:space="preserve"> The court then examined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and wrote that it, "for the sake of argument, may be accepted to be new, in the sense that it is not known from the Zimmermann patent. (Whether or not it involves an “inventive step” is another matter, and there is no need to go into that aspect of the matter now). Now,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being a pharmaceutical substance and moreover a polymorph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it directly runs into section 3(d) of the Act with the explanation appended to the provision".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In applying 3(d) of the Act, the Court decided to interpret "efficacy" as "therapeutic efficacy" because the subject matter of the patent is a compound of medicinal value. Court acknowledged that physical efficacy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in beta crystalline form is enhanced in comparison to other forms and that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has 30 per cent increased bioavailability as compared to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in free base form. However, as no material had been offered to indicate that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will produce an enhanced or superior efficacy (therapeutic) on molecular basis than what could be achieved with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free base in vivo animal model, the court opined that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xml:space="preserve">, does not qualify the test of Section 3(d).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Thus in effect, Indian Supreme Court upheld the view that under Indian Patent Act for grant of pharmaceutical patents apart from proving the traditional tests of novelty, inventive step and application, there is a new test of enhanced therapeutic efficacy for claims that cover incremental changes to existing drugs.</w:t>
      </w:r>
      <w:hyperlink r:id="rId63" w:anchor="cite_note-42" w:history="1">
        <w:r w:rsidRPr="00912C1E">
          <w:rPr>
            <w:rFonts w:ascii="Times New Roman" w:eastAsia="Times New Roman" w:hAnsi="Times New Roman" w:cs="Times New Roman"/>
            <w:color w:val="0B0080"/>
            <w:sz w:val="24"/>
            <w:szCs w:val="24"/>
            <w:u w:val="single"/>
            <w:vertAlign w:val="superscript"/>
          </w:rPr>
          <w:t>[42]</w:t>
        </w:r>
      </w:hyperlink>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The Court took pains to point out that the subject patent application was filed during a time of transition in Indian patent law, especially with regard to striking Section 5, which had barred product patents and adding section 3(d), for which there was no case law yet.</w:t>
      </w:r>
      <w:hyperlink r:id="rId64" w:anchor="cite_note-Decision24-43" w:history="1">
        <w:r w:rsidRPr="00912C1E">
          <w:rPr>
            <w:rFonts w:ascii="Times New Roman" w:eastAsia="Times New Roman" w:hAnsi="Times New Roman" w:cs="Times New Roman"/>
            <w:color w:val="0B0080"/>
            <w:sz w:val="24"/>
            <w:szCs w:val="24"/>
            <w:u w:val="single"/>
            <w:vertAlign w:val="superscript"/>
          </w:rPr>
          <w:t>[43]</w:t>
        </w:r>
      </w:hyperlink>
      <w:r w:rsidRPr="00912C1E">
        <w:rPr>
          <w:rFonts w:ascii="Times New Roman" w:eastAsia="Times New Roman" w:hAnsi="Times New Roman" w:cs="Times New Roman"/>
          <w:color w:val="222222"/>
          <w:sz w:val="24"/>
          <w:szCs w:val="24"/>
        </w:rPr>
        <w:t xml:space="preserve"> The Court also took care to state the decision was intended to be narrow: "We have held that the subject </w:t>
      </w:r>
      <w:r w:rsidRPr="00912C1E">
        <w:rPr>
          <w:rFonts w:ascii="Times New Roman" w:eastAsia="Times New Roman" w:hAnsi="Times New Roman" w:cs="Times New Roman"/>
          <w:color w:val="222222"/>
          <w:sz w:val="24"/>
          <w:szCs w:val="24"/>
        </w:rPr>
        <w:lastRenderedPageBreak/>
        <w:t xml:space="preserve">product, the beta crystalline form of </w:t>
      </w:r>
      <w:proofErr w:type="spellStart"/>
      <w:r w:rsidRPr="00912C1E">
        <w:rPr>
          <w:rFonts w:ascii="Times New Roman" w:eastAsia="Times New Roman" w:hAnsi="Times New Roman" w:cs="Times New Roman"/>
          <w:color w:val="222222"/>
          <w:sz w:val="24"/>
          <w:szCs w:val="24"/>
        </w:rPr>
        <w:t>Imatinib</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Mesylate</w:t>
      </w:r>
      <w:proofErr w:type="spellEnd"/>
      <w:r w:rsidRPr="00912C1E">
        <w:rPr>
          <w:rFonts w:ascii="Times New Roman" w:eastAsia="Times New Roman" w:hAnsi="Times New Roman" w:cs="Times New Roman"/>
          <w:color w:val="222222"/>
          <w:sz w:val="24"/>
          <w:szCs w:val="24"/>
        </w:rPr>
        <w:t>, does not qualify the test of Section 3(d) of the Act but that is not to say that Section 3(d) bars patent protection for all incremental inventions of chemical and pharmaceutical substances. It will be a grave mistake to read this judgment to mean that section 3(d) was amended with the intent to undo the fundamental change brought in the patent regime by deletion of section 5 from the Parent Act. That is not said in this judgment</w:t>
      </w:r>
    </w:p>
    <w:p w:rsid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p>
    <w:p w:rsid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p>
    <w:p w:rsidR="00912C1E" w:rsidRPr="00912C1E" w:rsidRDefault="00912C1E" w:rsidP="00912C1E">
      <w:pPr>
        <w:pBdr>
          <w:bottom w:val="single" w:sz="6" w:space="0" w:color="A2A9B1"/>
        </w:pBdr>
        <w:shd w:val="clear" w:color="auto" w:fill="FFFFFF"/>
        <w:spacing w:after="0" w:line="240" w:lineRule="auto"/>
        <w:jc w:val="both"/>
        <w:outlineLvl w:val="1"/>
        <w:rPr>
          <w:rFonts w:ascii="Times New Roman" w:eastAsia="Times New Roman" w:hAnsi="Times New Roman" w:cs="Times New Roman"/>
          <w:b/>
          <w:color w:val="000000"/>
          <w:sz w:val="24"/>
          <w:szCs w:val="24"/>
        </w:rPr>
      </w:pPr>
      <w:r w:rsidRPr="00912C1E">
        <w:rPr>
          <w:rFonts w:ascii="Times New Roman" w:eastAsia="Times New Roman" w:hAnsi="Times New Roman" w:cs="Times New Roman"/>
          <w:b/>
          <w:color w:val="000000"/>
          <w:sz w:val="24"/>
          <w:szCs w:val="24"/>
        </w:rPr>
        <w:t>Reception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The decision received extensive coverage from Indian and international media. It reignited debates on balancing public good with monopolistic pricing and innovation with affordability.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Several commenters, including Novartis, noted that a decision either way would not have affected the ability of generics companies in India to continue selling generic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The new patent law India adopted in 2005 contains a grandfather clause that allows generic copies of drugs launched before 2005, which includes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to continue to be sold, albeit with payment of a reasonable royalty to Novartis Other commenters noted that the case was unique with respect to its timing and the importance of the drug, and that large generalizations should not be taken from it. "As a case study, </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xml:space="preserve"> is peculiar and unlikely to be representative going forward. Had it been invented a few years later (or TRIPS implemented a few years earlier), </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xml:space="preserve"> likely would be patented in India, even under 3(d) standards. Newly discovered compounds are likely to receive basic patents and to be less vulnerable to 3(d) rejections." </w:t>
      </w:r>
      <w:proofErr w:type="spellStart"/>
      <w:r w:rsidRPr="00912C1E">
        <w:rPr>
          <w:rFonts w:ascii="Times New Roman" w:eastAsia="Times New Roman" w:hAnsi="Times New Roman" w:cs="Times New Roman"/>
          <w:color w:val="222222"/>
          <w:sz w:val="24"/>
          <w:szCs w:val="24"/>
        </w:rPr>
        <w:t>Prashant</w:t>
      </w:r>
      <w:proofErr w:type="spellEnd"/>
      <w:r w:rsidRPr="00912C1E">
        <w:rPr>
          <w:rFonts w:ascii="Times New Roman" w:eastAsia="Times New Roman" w:hAnsi="Times New Roman" w:cs="Times New Roman"/>
          <w:color w:val="222222"/>
          <w:sz w:val="24"/>
          <w:szCs w:val="24"/>
        </w:rPr>
        <w:t xml:space="preserve"> Reddy, author of the Spicy IP blog and postgraduate student at Stanford University Law School, was quoted in Nature Drug Discovery as saying: “It was a very limited ruling in most aspects and very fact-specific. Although the Court has interpreted efficacy to mean only therapeutic efficacy, it has left the exact scope of therapeutic efficacy to be defined in future cases....Most importantly, the Court made the nuanced distinction between the rent-seeking practice of ever greening and the beneficial practice of incremental innovation, and has clarified that Indian patent law forbids only the former. </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There were however strong negative and positive reactions.</w:t>
      </w: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Support</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The </w:t>
      </w:r>
      <w:proofErr w:type="spellStart"/>
      <w:r w:rsidRPr="00912C1E">
        <w:rPr>
          <w:rFonts w:ascii="Times New Roman" w:eastAsia="Times New Roman" w:hAnsi="Times New Roman" w:cs="Times New Roman"/>
          <w:color w:val="222222"/>
          <w:sz w:val="24"/>
          <w:szCs w:val="24"/>
        </w:rPr>
        <w:t>judgement</w:t>
      </w:r>
      <w:proofErr w:type="spellEnd"/>
      <w:r w:rsidRPr="00912C1E">
        <w:rPr>
          <w:rFonts w:ascii="Times New Roman" w:eastAsia="Times New Roman" w:hAnsi="Times New Roman" w:cs="Times New Roman"/>
          <w:color w:val="222222"/>
          <w:sz w:val="24"/>
          <w:szCs w:val="24"/>
        </w:rPr>
        <w:t xml:space="preserve"> garnered widespread support from international </w:t>
      </w:r>
      <w:proofErr w:type="spellStart"/>
      <w:r w:rsidRPr="00912C1E">
        <w:rPr>
          <w:rFonts w:ascii="Times New Roman" w:eastAsia="Times New Roman" w:hAnsi="Times New Roman" w:cs="Times New Roman"/>
          <w:color w:val="222222"/>
          <w:sz w:val="24"/>
          <w:szCs w:val="24"/>
        </w:rPr>
        <w:t>organisations</w:t>
      </w:r>
      <w:proofErr w:type="spellEnd"/>
      <w:r w:rsidRPr="00912C1E">
        <w:rPr>
          <w:rFonts w:ascii="Times New Roman" w:eastAsia="Times New Roman" w:hAnsi="Times New Roman" w:cs="Times New Roman"/>
          <w:color w:val="222222"/>
          <w:sz w:val="24"/>
          <w:szCs w:val="24"/>
        </w:rPr>
        <w:t xml:space="preserve"> and advocacy groups like </w:t>
      </w:r>
      <w:proofErr w:type="spellStart"/>
      <w:r w:rsidRPr="00912C1E">
        <w:rPr>
          <w:rFonts w:ascii="Times New Roman" w:eastAsia="Times New Roman" w:hAnsi="Times New Roman" w:cs="Times New Roman"/>
          <w:color w:val="0B0080"/>
          <w:sz w:val="24"/>
          <w:szCs w:val="24"/>
          <w:u w:val="single"/>
        </w:rPr>
        <w:t>Médecins</w:t>
      </w:r>
      <w:proofErr w:type="spellEnd"/>
      <w:r w:rsidRPr="00912C1E">
        <w:rPr>
          <w:rFonts w:ascii="Times New Roman" w:eastAsia="Times New Roman" w:hAnsi="Times New Roman" w:cs="Times New Roman"/>
          <w:color w:val="0B0080"/>
          <w:sz w:val="24"/>
          <w:szCs w:val="24"/>
          <w:u w:val="single"/>
        </w:rPr>
        <w:t xml:space="preserve"> Sans </w:t>
      </w:r>
      <w:proofErr w:type="spellStart"/>
      <w:r w:rsidRPr="00912C1E">
        <w:rPr>
          <w:rFonts w:ascii="Times New Roman" w:eastAsia="Times New Roman" w:hAnsi="Times New Roman" w:cs="Times New Roman"/>
          <w:color w:val="0B0080"/>
          <w:sz w:val="24"/>
          <w:szCs w:val="24"/>
          <w:u w:val="single"/>
        </w:rPr>
        <w:t>Frontières</w:t>
      </w:r>
      <w:proofErr w:type="spellEnd"/>
      <w:r w:rsidRPr="00912C1E">
        <w:rPr>
          <w:rFonts w:ascii="Times New Roman" w:eastAsia="Times New Roman" w:hAnsi="Times New Roman" w:cs="Times New Roman"/>
          <w:color w:val="222222"/>
          <w:sz w:val="24"/>
          <w:szCs w:val="24"/>
        </w:rPr>
        <w:t xml:space="preserve"> WHO, etc. who welcomed the decision against </w:t>
      </w:r>
      <w:proofErr w:type="spellStart"/>
      <w:r w:rsidRPr="00912C1E">
        <w:rPr>
          <w:rFonts w:ascii="Times New Roman" w:eastAsia="Times New Roman" w:hAnsi="Times New Roman" w:cs="Times New Roman"/>
          <w:color w:val="222222"/>
          <w:sz w:val="24"/>
          <w:szCs w:val="24"/>
        </w:rPr>
        <w:t>evergreening</w:t>
      </w:r>
      <w:proofErr w:type="spellEnd"/>
      <w:r w:rsidRPr="00912C1E">
        <w:rPr>
          <w:rFonts w:ascii="Times New Roman" w:eastAsia="Times New Roman" w:hAnsi="Times New Roman" w:cs="Times New Roman"/>
          <w:color w:val="222222"/>
          <w:sz w:val="24"/>
          <w:szCs w:val="24"/>
        </w:rPr>
        <w:t xml:space="preserve"> of pharmaceutical patents.</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r w:rsidRPr="00912C1E">
        <w:rPr>
          <w:rFonts w:ascii="Times New Roman" w:eastAsia="Times New Roman" w:hAnsi="Times New Roman" w:cs="Times New Roman"/>
          <w:color w:val="222222"/>
          <w:sz w:val="24"/>
          <w:szCs w:val="24"/>
        </w:rPr>
        <w:t xml:space="preserve">Most news item contrasted the huge price difference between patented </w:t>
      </w:r>
      <w:proofErr w:type="spellStart"/>
      <w:r w:rsidRPr="00912C1E">
        <w:rPr>
          <w:rFonts w:ascii="Times New Roman" w:eastAsia="Times New Roman" w:hAnsi="Times New Roman" w:cs="Times New Roman"/>
          <w:color w:val="222222"/>
          <w:sz w:val="24"/>
          <w:szCs w:val="24"/>
        </w:rPr>
        <w:t>Gleevec</w:t>
      </w:r>
      <w:proofErr w:type="spellEnd"/>
      <w:r w:rsidRPr="00912C1E">
        <w:rPr>
          <w:rFonts w:ascii="Times New Roman" w:eastAsia="Times New Roman" w:hAnsi="Times New Roman" w:cs="Times New Roman"/>
          <w:color w:val="222222"/>
          <w:sz w:val="24"/>
          <w:szCs w:val="24"/>
        </w:rPr>
        <w:t xml:space="preserve"> of Novartis and the generic versions of </w:t>
      </w:r>
      <w:proofErr w:type="spellStart"/>
      <w:r w:rsidRPr="00912C1E">
        <w:rPr>
          <w:rFonts w:ascii="Times New Roman" w:eastAsia="Times New Roman" w:hAnsi="Times New Roman" w:cs="Times New Roman"/>
          <w:color w:val="222222"/>
          <w:sz w:val="24"/>
          <w:szCs w:val="24"/>
        </w:rPr>
        <w:t>Cipla</w:t>
      </w:r>
      <w:proofErr w:type="spellEnd"/>
      <w:r w:rsidRPr="00912C1E">
        <w:rPr>
          <w:rFonts w:ascii="Times New Roman" w:eastAsia="Times New Roman" w:hAnsi="Times New Roman" w:cs="Times New Roman"/>
          <w:color w:val="222222"/>
          <w:sz w:val="24"/>
          <w:szCs w:val="24"/>
        </w:rPr>
        <w:t xml:space="preserve"> and other generic companies.</w:t>
      </w:r>
      <w:hyperlink r:id="rId65" w:anchor="cite_note-57" w:history="1">
        <w:r w:rsidRPr="00912C1E">
          <w:rPr>
            <w:rFonts w:ascii="Times New Roman" w:eastAsia="Times New Roman" w:hAnsi="Times New Roman" w:cs="Times New Roman"/>
            <w:color w:val="0B0080"/>
            <w:sz w:val="24"/>
            <w:szCs w:val="24"/>
            <w:u w:val="single"/>
            <w:vertAlign w:val="superscript"/>
          </w:rPr>
          <w:t>[57]</w:t>
        </w:r>
      </w:hyperlink>
      <w:hyperlink r:id="rId66" w:anchor="cite_note-58" w:history="1">
        <w:r w:rsidRPr="00912C1E">
          <w:rPr>
            <w:rFonts w:ascii="Times New Roman" w:eastAsia="Times New Roman" w:hAnsi="Times New Roman" w:cs="Times New Roman"/>
            <w:color w:val="0B0080"/>
            <w:sz w:val="24"/>
            <w:szCs w:val="24"/>
            <w:u w:val="single"/>
            <w:vertAlign w:val="superscript"/>
          </w:rPr>
          <w:t>[58]</w:t>
        </w:r>
      </w:hyperlink>
      <w:r w:rsidRPr="00912C1E">
        <w:rPr>
          <w:rFonts w:ascii="Times New Roman" w:eastAsia="Times New Roman" w:hAnsi="Times New Roman" w:cs="Times New Roman"/>
          <w:color w:val="222222"/>
          <w:sz w:val="24"/>
          <w:szCs w:val="24"/>
        </w:rPr>
        <w:t xml:space="preserve"> Some commentators have stated that this strict patent requirement would actually enhance innovation as the pharmaceutical companies would have to invest more in R&amp;D to come up with new cures rather than repackage known compounds. Others have suggested that exclusions under section 3(d) present the hard cases that lie at the margins of the patent system due to the eternally unsettled nature of the definition of the term 'invention'. Several patent law experts have also pointed out that stringent conditions for patentability are followed in many jurisdictions around the world, and there is </w:t>
      </w:r>
      <w:proofErr w:type="gramStart"/>
      <w:r w:rsidRPr="00912C1E">
        <w:rPr>
          <w:rFonts w:ascii="Times New Roman" w:eastAsia="Times New Roman" w:hAnsi="Times New Roman" w:cs="Times New Roman"/>
          <w:color w:val="222222"/>
          <w:sz w:val="24"/>
          <w:szCs w:val="24"/>
        </w:rPr>
        <w:t>no reason India should not follow the same standards, given the extent of poverty and lack of availability of affordable medicines in the country</w:t>
      </w:r>
      <w:proofErr w:type="gramEnd"/>
      <w:r w:rsidRPr="00912C1E">
        <w:rPr>
          <w:rFonts w:ascii="Times New Roman" w:eastAsia="Times New Roman" w:hAnsi="Times New Roman" w:cs="Times New Roman"/>
          <w:color w:val="222222"/>
          <w:sz w:val="24"/>
          <w:szCs w:val="24"/>
        </w:rPr>
        <w:t>.</w:t>
      </w:r>
      <w:r w:rsidRPr="00912C1E">
        <w:rPr>
          <w:rFonts w:ascii="Times New Roman" w:eastAsia="Times New Roman" w:hAnsi="Times New Roman" w:cs="Times New Roman"/>
          <w:color w:val="0B0080"/>
          <w:sz w:val="24"/>
          <w:szCs w:val="24"/>
          <w:u w:val="single"/>
          <w:vertAlign w:val="superscript"/>
        </w:rPr>
        <w:t>]</w:t>
      </w:r>
    </w:p>
    <w:p w:rsid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p>
    <w:p w:rsidR="00912C1E" w:rsidRPr="00912C1E" w:rsidRDefault="00912C1E" w:rsidP="00912C1E">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912C1E">
        <w:rPr>
          <w:rFonts w:ascii="Times New Roman" w:eastAsia="Times New Roman" w:hAnsi="Times New Roman" w:cs="Times New Roman"/>
          <w:b/>
          <w:bCs/>
          <w:color w:val="000000"/>
          <w:sz w:val="24"/>
          <w:szCs w:val="24"/>
        </w:rPr>
        <w:t>Opposition</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proofErr w:type="spellStart"/>
      <w:r w:rsidRPr="00912C1E">
        <w:rPr>
          <w:rFonts w:ascii="Times New Roman" w:eastAsia="Times New Roman" w:hAnsi="Times New Roman" w:cs="Times New Roman"/>
          <w:color w:val="222222"/>
          <w:sz w:val="24"/>
          <w:szCs w:val="24"/>
        </w:rPr>
        <w:t>Ranjit</w:t>
      </w:r>
      <w:proofErr w:type="spellEnd"/>
      <w:r w:rsidRPr="00912C1E">
        <w:rPr>
          <w:rFonts w:ascii="Times New Roman" w:eastAsia="Times New Roman" w:hAnsi="Times New Roman" w:cs="Times New Roman"/>
          <w:color w:val="222222"/>
          <w:sz w:val="24"/>
          <w:szCs w:val="24"/>
        </w:rPr>
        <w:t xml:space="preserve"> </w:t>
      </w:r>
      <w:proofErr w:type="spellStart"/>
      <w:r w:rsidRPr="00912C1E">
        <w:rPr>
          <w:rFonts w:ascii="Times New Roman" w:eastAsia="Times New Roman" w:hAnsi="Times New Roman" w:cs="Times New Roman"/>
          <w:color w:val="222222"/>
          <w:sz w:val="24"/>
          <w:szCs w:val="24"/>
        </w:rPr>
        <w:t>Shahani</w:t>
      </w:r>
      <w:proofErr w:type="spellEnd"/>
      <w:r w:rsidRPr="00912C1E">
        <w:rPr>
          <w:rFonts w:ascii="Times New Roman" w:eastAsia="Times New Roman" w:hAnsi="Times New Roman" w:cs="Times New Roman"/>
          <w:color w:val="222222"/>
          <w:sz w:val="24"/>
          <w:szCs w:val="24"/>
        </w:rPr>
        <w:t xml:space="preserve">, vice-chairman and managing director of Novartis India Ltd is quoted as saying "This ruling is a setback for patients that will hinder medical progress for diseases </w:t>
      </w:r>
      <w:r w:rsidRPr="00912C1E">
        <w:rPr>
          <w:rFonts w:ascii="Times New Roman" w:eastAsia="Times New Roman" w:hAnsi="Times New Roman" w:cs="Times New Roman"/>
          <w:color w:val="222222"/>
          <w:sz w:val="24"/>
          <w:szCs w:val="24"/>
        </w:rPr>
        <w:lastRenderedPageBreak/>
        <w:t xml:space="preserve">without effective treatment options.  He also said that companies like Novartis would invest less money in research in India as a result of the ruling. Novartis also emphasized that it continues to be committed to access to its drugs; according to Novartis, by 2013, "95% of patients in India—roughly 16,000 people—receive </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xml:space="preserve"> free of charge... and it has provided more than $1.7 billion worth of </w:t>
      </w:r>
      <w:proofErr w:type="spellStart"/>
      <w:r w:rsidRPr="00912C1E">
        <w:rPr>
          <w:rFonts w:ascii="Times New Roman" w:eastAsia="Times New Roman" w:hAnsi="Times New Roman" w:cs="Times New Roman"/>
          <w:color w:val="222222"/>
          <w:sz w:val="24"/>
          <w:szCs w:val="24"/>
        </w:rPr>
        <w:t>Glivec</w:t>
      </w:r>
      <w:proofErr w:type="spellEnd"/>
      <w:r w:rsidRPr="00912C1E">
        <w:rPr>
          <w:rFonts w:ascii="Times New Roman" w:eastAsia="Times New Roman" w:hAnsi="Times New Roman" w:cs="Times New Roman"/>
          <w:color w:val="222222"/>
          <w:sz w:val="24"/>
          <w:szCs w:val="24"/>
        </w:rPr>
        <w:t xml:space="preserve"> to Indian patients in its support program since it was started.  The New York Times quoted Chip Davis, the executive vice president of advocacy at the Pharmaceutical Research and Manufacturers of America, the industry trade group: “It really is in our view another example of what I would characterize as a deteriorating innovation environment in India. The Indian government and the Indian courts have come down on the side that doesn’t recognize the value of innovation and the value of strong intellectual property, which we believe is essential.</w:t>
      </w:r>
    </w:p>
    <w:p w:rsidR="00912C1E" w:rsidRPr="00912C1E" w:rsidRDefault="00912C1E" w:rsidP="00912C1E">
      <w:pPr>
        <w:shd w:val="clear" w:color="auto" w:fill="FFFFFF"/>
        <w:spacing w:after="0" w:line="240" w:lineRule="auto"/>
        <w:jc w:val="both"/>
        <w:rPr>
          <w:rFonts w:ascii="Times New Roman" w:eastAsia="Times New Roman" w:hAnsi="Times New Roman" w:cs="Times New Roman"/>
          <w:color w:val="222222"/>
          <w:sz w:val="24"/>
          <w:szCs w:val="24"/>
        </w:rPr>
      </w:pPr>
    </w:p>
    <w:p w:rsid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II:</w:t>
      </w:r>
      <w:r w:rsidRPr="00912C1E">
        <w:rPr>
          <w:rFonts w:ascii="Times New Roman" w:hAnsi="Times New Roman" w:cs="Times New Roman"/>
          <w:b/>
          <w:sz w:val="24"/>
          <w:szCs w:val="24"/>
        </w:rPr>
        <w:t xml:space="preserve">  </w:t>
      </w:r>
    </w:p>
    <w:p w:rsidR="00912C1E" w:rsidRDefault="00912C1E" w:rsidP="00912C1E">
      <w:pPr>
        <w:shd w:val="clear" w:color="auto" w:fill="FFFFFF"/>
        <w:spacing w:after="0" w:line="240" w:lineRule="auto"/>
        <w:jc w:val="both"/>
        <w:rPr>
          <w:rFonts w:ascii="Times New Roman" w:hAnsi="Times New Roman" w:cs="Times New Roman"/>
          <w:b/>
          <w:i/>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i/>
          <w:sz w:val="24"/>
          <w:szCs w:val="24"/>
          <w:u w:val="single"/>
        </w:rPr>
      </w:pPr>
      <w:proofErr w:type="spellStart"/>
      <w:proofErr w:type="gramStart"/>
      <w:r w:rsidRPr="00912C1E">
        <w:rPr>
          <w:rFonts w:ascii="Times New Roman" w:hAnsi="Times New Roman" w:cs="Times New Roman"/>
          <w:b/>
          <w:i/>
          <w:sz w:val="24"/>
          <w:szCs w:val="24"/>
        </w:rPr>
        <w:t>Bt</w:t>
      </w:r>
      <w:proofErr w:type="spellEnd"/>
      <w:proofErr w:type="gramEnd"/>
      <w:r w:rsidRPr="00912C1E">
        <w:rPr>
          <w:rFonts w:ascii="Times New Roman" w:hAnsi="Times New Roman" w:cs="Times New Roman"/>
          <w:b/>
          <w:i/>
          <w:sz w:val="24"/>
          <w:szCs w:val="24"/>
        </w:rPr>
        <w:t xml:space="preserve"> COTTON PRONOUNCED BY DELHI HIGH COURT - </w:t>
      </w:r>
      <w:r w:rsidRPr="00912C1E">
        <w:rPr>
          <w:rFonts w:ascii="Times New Roman" w:hAnsi="Times New Roman" w:cs="Times New Roman"/>
          <w:b/>
          <w:i/>
          <w:sz w:val="24"/>
          <w:szCs w:val="24"/>
          <w:u w:val="single"/>
        </w:rPr>
        <w:t>Patent No. 214436</w:t>
      </w:r>
    </w:p>
    <w:p w:rsidR="00912C1E" w:rsidRPr="00912C1E" w:rsidRDefault="00912C1E" w:rsidP="00912C1E">
      <w:pPr>
        <w:shd w:val="clear" w:color="auto" w:fill="FFFFFF"/>
        <w:spacing w:after="0" w:line="240" w:lineRule="auto"/>
        <w:jc w:val="both"/>
        <w:rPr>
          <w:rFonts w:ascii="Times New Roman" w:hAnsi="Times New Roman" w:cs="Times New Roman"/>
          <w:b/>
          <w:i/>
          <w:sz w:val="24"/>
          <w:szCs w:val="24"/>
        </w:rPr>
      </w:pPr>
      <w:r w:rsidRPr="00912C1E">
        <w:rPr>
          <w:rFonts w:ascii="Times New Roman" w:hAnsi="Times New Roman" w:cs="Times New Roman"/>
          <w:b/>
          <w:i/>
          <w:sz w:val="24"/>
          <w:szCs w:val="24"/>
        </w:rPr>
        <w:t>ON SECTION 3(j)</w:t>
      </w: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rPr>
        <w:t>CLAIMS AS GRANTED BY THE PATENT OFFICE</w:t>
      </w:r>
    </w:p>
    <w:p w:rsidR="00912C1E" w:rsidRDefault="00912C1E" w:rsidP="00912C1E">
      <w:pPr>
        <w:shd w:val="clear" w:color="auto" w:fill="FFFFFF"/>
        <w:spacing w:after="0" w:line="240" w:lineRule="auto"/>
        <w:jc w:val="both"/>
        <w:rPr>
          <w:rFonts w:ascii="Times New Roman" w:hAnsi="Times New Roman" w:cs="Times New Roman"/>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We Claim:</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w:t>
      </w:r>
      <w:r w:rsidRPr="00912C1E">
        <w:rPr>
          <w:rFonts w:ascii="Times New Roman" w:hAnsi="Times New Roman" w:cs="Times New Roman"/>
          <w:sz w:val="24"/>
          <w:szCs w:val="24"/>
        </w:rPr>
        <w:tab/>
        <w:t xml:space="preserve">A method for producing a transgenic plant comprising incorporating into its genome a nucleic acid sequence comprising a plant functional promoter sequence operably linked to a first polynucleotide sequence encoding a plastid transit peptide, which is linked in frame to a second polynucleotide sequence encoding a Cry2Ab Bacillus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delta-endotoxin protein, wherein said plastid transit peptide functions to localize said delta-endotoxin protein to a subcellular organelle or compartment.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w:t>
      </w:r>
      <w:r w:rsidRPr="00912C1E">
        <w:rPr>
          <w:rFonts w:ascii="Times New Roman" w:hAnsi="Times New Roman" w:cs="Times New Roman"/>
          <w:sz w:val="24"/>
          <w:szCs w:val="24"/>
        </w:rPr>
        <w:tab/>
        <w:t xml:space="preserve">The method of claim 1, wherein said second polynucleotide is operably linked to a plant functional 3' end transcription termination and </w:t>
      </w:r>
      <w:proofErr w:type="spellStart"/>
      <w:r w:rsidRPr="00912C1E">
        <w:rPr>
          <w:rFonts w:ascii="Times New Roman" w:hAnsi="Times New Roman" w:cs="Times New Roman"/>
          <w:sz w:val="24"/>
          <w:szCs w:val="24"/>
        </w:rPr>
        <w:t>polyadenylation</w:t>
      </w:r>
      <w:proofErr w:type="spellEnd"/>
      <w:r w:rsidRPr="00912C1E">
        <w:rPr>
          <w:rFonts w:ascii="Times New Roman" w:hAnsi="Times New Roman" w:cs="Times New Roman"/>
          <w:sz w:val="24"/>
          <w:szCs w:val="24"/>
        </w:rPr>
        <w:t xml:space="preserve"> sequence, wherein expression of said nucleic acid sequence in said plant yields a fusion protein comprised of an amino-terminal plastid transit peptide covalently linked to said delta-endotoxin protein, and wherein said plastid transit peptide functions to localize said delta-endotoxin protein to a subcellular organelle or compartment.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3.</w:t>
      </w:r>
      <w:r w:rsidRPr="00912C1E">
        <w:rPr>
          <w:rFonts w:ascii="Times New Roman" w:hAnsi="Times New Roman" w:cs="Times New Roman"/>
          <w:sz w:val="24"/>
          <w:szCs w:val="24"/>
        </w:rPr>
        <w:tab/>
        <w:t>The method of claim 1 or claim 2, wherein said subcellular organelle or compartment is a plant plastid or chloroplast.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4.</w:t>
      </w:r>
      <w:r w:rsidRPr="00912C1E">
        <w:rPr>
          <w:rFonts w:ascii="Times New Roman" w:hAnsi="Times New Roman" w:cs="Times New Roman"/>
          <w:sz w:val="24"/>
          <w:szCs w:val="24"/>
        </w:rPr>
        <w:tab/>
        <w:t>The method of claim 1 or 2, wherein said plant functional promoter sequence comprises a plant chloroplast or plastid functional promoter sequence.</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5.</w:t>
      </w:r>
      <w:r w:rsidRPr="00912C1E">
        <w:rPr>
          <w:rFonts w:ascii="Times New Roman" w:hAnsi="Times New Roman" w:cs="Times New Roman"/>
          <w:sz w:val="24"/>
          <w:szCs w:val="24"/>
        </w:rPr>
        <w:tab/>
        <w:t>The method of claim 1 or 2, wherein said plant functional promoter sequence is naturally expressed in plants.</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6.</w:t>
      </w:r>
      <w:r w:rsidRPr="00912C1E">
        <w:rPr>
          <w:rFonts w:ascii="Times New Roman" w:hAnsi="Times New Roman" w:cs="Times New Roman"/>
          <w:sz w:val="24"/>
          <w:szCs w:val="24"/>
        </w:rPr>
        <w:tab/>
        <w:t xml:space="preserve">The method of claim 1 or 2, wherein said polynucleotide sequence encoding a Cry2Ab Bacillus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delta-endotoxin protein is selected from the group consisting of SEQ </w:t>
      </w:r>
      <w:proofErr w:type="spellStart"/>
      <w:r w:rsidRPr="00912C1E">
        <w:rPr>
          <w:rFonts w:ascii="Times New Roman" w:hAnsi="Times New Roman" w:cs="Times New Roman"/>
          <w:sz w:val="24"/>
          <w:szCs w:val="24"/>
        </w:rPr>
        <w:t>IDNO:l</w:t>
      </w:r>
      <w:proofErr w:type="spellEnd"/>
      <w:r w:rsidRPr="00912C1E">
        <w:rPr>
          <w:rFonts w:ascii="Times New Roman" w:hAnsi="Times New Roman" w:cs="Times New Roman"/>
          <w:sz w:val="24"/>
          <w:szCs w:val="24"/>
        </w:rPr>
        <w:t xml:space="preserve"> and SEQ ID NO: 17.</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7.</w:t>
      </w:r>
      <w:r w:rsidRPr="00912C1E">
        <w:rPr>
          <w:rFonts w:ascii="Times New Roman" w:hAnsi="Times New Roman" w:cs="Times New Roman"/>
          <w:sz w:val="24"/>
          <w:szCs w:val="24"/>
        </w:rPr>
        <w:tab/>
        <w:t xml:space="preserve">The method of claim 1 or 2, wherein said Cry2Ab Bacillus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delta-endotoxin protein is selected from the group consisting of SEQ ID NO</w:t>
      </w:r>
      <w:proofErr w:type="gramStart"/>
      <w:r w:rsidRPr="00912C1E">
        <w:rPr>
          <w:rFonts w:ascii="Times New Roman" w:hAnsi="Times New Roman" w:cs="Times New Roman"/>
          <w:sz w:val="24"/>
          <w:szCs w:val="24"/>
        </w:rPr>
        <w:t>:2</w:t>
      </w:r>
      <w:proofErr w:type="gramEnd"/>
      <w:r w:rsidRPr="00912C1E">
        <w:rPr>
          <w:rFonts w:ascii="Times New Roman" w:hAnsi="Times New Roman" w:cs="Times New Roman"/>
          <w:sz w:val="24"/>
          <w:szCs w:val="24"/>
        </w:rPr>
        <w:t xml:space="preserve"> and SEQ ID NO: 18.</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8.</w:t>
      </w:r>
      <w:r w:rsidRPr="00912C1E">
        <w:rPr>
          <w:rFonts w:ascii="Times New Roman" w:hAnsi="Times New Roman" w:cs="Times New Roman"/>
          <w:sz w:val="24"/>
          <w:szCs w:val="24"/>
        </w:rPr>
        <w:tab/>
        <w:t>The method of claim 1 or 2, wherein said nucleic acid sequence further comprises a plant functional intron sequence.</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 </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lastRenderedPageBreak/>
        <w:t>9.</w:t>
      </w:r>
      <w:r w:rsidRPr="00912C1E">
        <w:rPr>
          <w:rFonts w:ascii="Times New Roman" w:hAnsi="Times New Roman" w:cs="Times New Roman"/>
          <w:sz w:val="24"/>
          <w:szCs w:val="24"/>
        </w:rPr>
        <w:tab/>
        <w:t xml:space="preserve">The method of claim 8, wherein said intron sequence is selected from the group consisting of </w:t>
      </w:r>
      <w:proofErr w:type="spellStart"/>
      <w:r w:rsidRPr="00912C1E">
        <w:rPr>
          <w:rFonts w:ascii="Times New Roman" w:hAnsi="Times New Roman" w:cs="Times New Roman"/>
          <w:sz w:val="24"/>
          <w:szCs w:val="24"/>
        </w:rPr>
        <w:t>Adh</w:t>
      </w:r>
      <w:proofErr w:type="spellEnd"/>
      <w:r w:rsidRPr="00912C1E">
        <w:rPr>
          <w:rFonts w:ascii="Times New Roman" w:hAnsi="Times New Roman" w:cs="Times New Roman"/>
          <w:sz w:val="24"/>
          <w:szCs w:val="24"/>
        </w:rPr>
        <w:t xml:space="preserve"> intron 1, sucrose synthase intron, TMV omega element, maize Heat Shock Protein 70 intron, and the rice </w:t>
      </w:r>
      <w:proofErr w:type="spellStart"/>
      <w:r w:rsidRPr="00912C1E">
        <w:rPr>
          <w:rFonts w:ascii="Times New Roman" w:hAnsi="Times New Roman" w:cs="Times New Roman"/>
          <w:sz w:val="24"/>
          <w:szCs w:val="24"/>
        </w:rPr>
        <w:t>Actl</w:t>
      </w:r>
      <w:proofErr w:type="spellEnd"/>
      <w:r w:rsidRPr="00912C1E">
        <w:rPr>
          <w:rFonts w:ascii="Times New Roman" w:hAnsi="Times New Roman" w:cs="Times New Roman"/>
          <w:sz w:val="24"/>
          <w:szCs w:val="24"/>
        </w:rPr>
        <w:t xml:space="preserve"> intron.</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10.</w:t>
      </w:r>
      <w:r w:rsidRPr="00912C1E">
        <w:rPr>
          <w:rFonts w:ascii="Times New Roman" w:hAnsi="Times New Roman" w:cs="Times New Roman"/>
          <w:sz w:val="24"/>
          <w:szCs w:val="24"/>
        </w:rPr>
        <w:tab/>
        <w:t>The method of claim 8, wherein said intron sequence is the maize Heat Shock Protein 70 intron.</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11.</w:t>
      </w:r>
      <w:r w:rsidRPr="00912C1E">
        <w:rPr>
          <w:rFonts w:ascii="Times New Roman" w:hAnsi="Times New Roman" w:cs="Times New Roman"/>
          <w:sz w:val="24"/>
          <w:szCs w:val="24"/>
        </w:rPr>
        <w:tab/>
        <w:t>The method of claim 1 or 2, wherein said first polynucleotide sequence encodes a plastid transit peptide of SEQ ID NO</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SEQ ID NO:6, SEQ ID NO:8, or SEQ ID NO.10.</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12.</w:t>
      </w:r>
      <w:r w:rsidRPr="00912C1E">
        <w:rPr>
          <w:rFonts w:ascii="Times New Roman" w:hAnsi="Times New Roman" w:cs="Times New Roman"/>
          <w:sz w:val="24"/>
          <w:szCs w:val="24"/>
        </w:rPr>
        <w:tab/>
        <w:t>The method of claim 11, wherein said plastid transit peptide of SEQ ID NO</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xml:space="preserve"> is encoded by the nucleic acid sequence comprising SEQ ID NO:3.</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13.</w:t>
      </w:r>
      <w:r w:rsidRPr="00912C1E">
        <w:rPr>
          <w:rFonts w:ascii="Times New Roman" w:hAnsi="Times New Roman" w:cs="Times New Roman"/>
          <w:sz w:val="24"/>
          <w:szCs w:val="24"/>
        </w:rPr>
        <w:tab/>
        <w:t>The method of claim 11, wherein said plastid transit peptide of SEQ ID NO</w:t>
      </w:r>
      <w:proofErr w:type="gramStart"/>
      <w:r w:rsidRPr="00912C1E">
        <w:rPr>
          <w:rFonts w:ascii="Times New Roman" w:hAnsi="Times New Roman" w:cs="Times New Roman"/>
          <w:sz w:val="24"/>
          <w:szCs w:val="24"/>
        </w:rPr>
        <w:t>:6</w:t>
      </w:r>
      <w:proofErr w:type="gramEnd"/>
      <w:r w:rsidRPr="00912C1E">
        <w:rPr>
          <w:rFonts w:ascii="Times New Roman" w:hAnsi="Times New Roman" w:cs="Times New Roman"/>
          <w:sz w:val="24"/>
          <w:szCs w:val="24"/>
        </w:rPr>
        <w:t xml:space="preserve"> is encoded by the nucleic acid sequence comprising SEQ ID NO:5.</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14.</w:t>
      </w:r>
      <w:r w:rsidRPr="00912C1E">
        <w:rPr>
          <w:rFonts w:ascii="Times New Roman" w:hAnsi="Times New Roman" w:cs="Times New Roman"/>
          <w:sz w:val="24"/>
          <w:szCs w:val="24"/>
        </w:rPr>
        <w:tab/>
        <w:t>The method of claim 11, wherein said plastid transit peptide of SEQ ID NO</w:t>
      </w:r>
      <w:proofErr w:type="gramStart"/>
      <w:r w:rsidRPr="00912C1E">
        <w:rPr>
          <w:rFonts w:ascii="Times New Roman" w:hAnsi="Times New Roman" w:cs="Times New Roman"/>
          <w:sz w:val="24"/>
          <w:szCs w:val="24"/>
        </w:rPr>
        <w:t>:8</w:t>
      </w:r>
      <w:proofErr w:type="gramEnd"/>
      <w:r w:rsidRPr="00912C1E">
        <w:rPr>
          <w:rFonts w:ascii="Times New Roman" w:hAnsi="Times New Roman" w:cs="Times New Roman"/>
          <w:sz w:val="24"/>
          <w:szCs w:val="24"/>
        </w:rPr>
        <w:t xml:space="preserve"> is encoded by the nucleic acid sequence comprising SEQ ID NO:7.</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15.</w:t>
      </w:r>
      <w:r w:rsidRPr="00912C1E">
        <w:rPr>
          <w:rFonts w:ascii="Times New Roman" w:hAnsi="Times New Roman" w:cs="Times New Roman"/>
          <w:sz w:val="24"/>
          <w:szCs w:val="24"/>
        </w:rPr>
        <w:tab/>
        <w:t>The method of claim 11, wherein said plastid transit peptide of SEQ ID NO: 10 is encoded by the nucleic acid sequence comprising SEQ ID NO</w:t>
      </w:r>
      <w:proofErr w:type="gramStart"/>
      <w:r w:rsidRPr="00912C1E">
        <w:rPr>
          <w:rFonts w:ascii="Times New Roman" w:hAnsi="Times New Roman" w:cs="Times New Roman"/>
          <w:sz w:val="24"/>
          <w:szCs w:val="24"/>
        </w:rPr>
        <w:t>:9</w:t>
      </w:r>
      <w:proofErr w:type="gramEnd"/>
      <w:r w:rsidRPr="00912C1E">
        <w:rPr>
          <w:rFonts w:ascii="Times New Roman" w:hAnsi="Times New Roman" w:cs="Times New Roman"/>
          <w:sz w:val="24"/>
          <w:szCs w:val="24"/>
        </w:rPr>
        <w: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16.</w:t>
      </w:r>
      <w:r w:rsidRPr="00912C1E">
        <w:rPr>
          <w:rFonts w:ascii="Times New Roman" w:hAnsi="Times New Roman" w:cs="Times New Roman"/>
          <w:sz w:val="24"/>
          <w:szCs w:val="24"/>
        </w:rPr>
        <w:tab/>
        <w:t>The method of claim 1 or 2, wherein the Cry2Ab sequence is encoded by a nucleic acid sequence comprising nucleotides 17 to 3182 of SEQ ID NO: 13.</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17.</w:t>
      </w:r>
      <w:r w:rsidRPr="00912C1E">
        <w:rPr>
          <w:rFonts w:ascii="Times New Roman" w:hAnsi="Times New Roman" w:cs="Times New Roman"/>
          <w:sz w:val="24"/>
          <w:szCs w:val="24"/>
        </w:rPr>
        <w:tab/>
        <w:t>The method of claim 1 or 2, wherein the Cry2Ab sequence is encoded by a nucleic acid sequence comprising nucleotides 17 to 3092 of SEQ ID NO: 14.</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18.</w:t>
      </w:r>
      <w:r w:rsidRPr="00912C1E">
        <w:rPr>
          <w:rFonts w:ascii="Times New Roman" w:hAnsi="Times New Roman" w:cs="Times New Roman"/>
          <w:sz w:val="24"/>
          <w:szCs w:val="24"/>
        </w:rPr>
        <w:tab/>
        <w:t>The method of claim 1 or 2, wherein the Cry2Ab sequence is encoded by a nucleic acid sequence comprising nucleotides 17 to 3155 of SEQ IDNO</w:t>
      </w:r>
      <w:proofErr w:type="gramStart"/>
      <w:r w:rsidRPr="00912C1E">
        <w:rPr>
          <w:rFonts w:ascii="Times New Roman" w:hAnsi="Times New Roman" w:cs="Times New Roman"/>
          <w:sz w:val="24"/>
          <w:szCs w:val="24"/>
        </w:rPr>
        <w:t>:15</w:t>
      </w:r>
      <w:proofErr w:type="gramEnd"/>
      <w:r w:rsidRPr="00912C1E">
        <w:rPr>
          <w:rFonts w:ascii="Times New Roman" w:hAnsi="Times New Roman" w:cs="Times New Roman"/>
          <w:sz w:val="24"/>
          <w:szCs w:val="24"/>
        </w:rPr>
        <w: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19.</w:t>
      </w:r>
      <w:r w:rsidRPr="00912C1E">
        <w:rPr>
          <w:rFonts w:ascii="Times New Roman" w:hAnsi="Times New Roman" w:cs="Times New Roman"/>
          <w:sz w:val="24"/>
          <w:szCs w:val="24"/>
        </w:rPr>
        <w:tab/>
        <w:t>The method of claim 1 or 2, wherein the Cry2Ab sequence is encoded by a nucleic acid sequence comprising nucleotides 1781 to 5869 of SEQ ID NO: 16.</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20.</w:t>
      </w:r>
      <w:r w:rsidRPr="00912C1E">
        <w:rPr>
          <w:rFonts w:ascii="Times New Roman" w:hAnsi="Times New Roman" w:cs="Times New Roman"/>
          <w:sz w:val="24"/>
          <w:szCs w:val="24"/>
        </w:rPr>
        <w:tab/>
        <w:t>The method of claim 1 or 2, wherein the plant is a monocotyledonous plant.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 21.</w:t>
      </w:r>
      <w:r w:rsidRPr="00912C1E">
        <w:rPr>
          <w:rFonts w:ascii="Times New Roman" w:hAnsi="Times New Roman" w:cs="Times New Roman"/>
          <w:sz w:val="24"/>
          <w:szCs w:val="24"/>
        </w:rPr>
        <w:tab/>
        <w:t>The method of claim 20, wherein the plant is a monocotyledonous plant selected from the group consisting of maize, rice, wheat, barley, oats, rye, millet, sorghum, sugarcane, and turf grass.</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22.</w:t>
      </w:r>
      <w:r w:rsidRPr="00912C1E">
        <w:rPr>
          <w:rFonts w:ascii="Times New Roman" w:hAnsi="Times New Roman" w:cs="Times New Roman"/>
          <w:sz w:val="24"/>
          <w:szCs w:val="24"/>
        </w:rPr>
        <w:tab/>
        <w:t>The method of claim 1 or 2, wherein said plant is a dicotyledonous plant.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23.</w:t>
      </w:r>
      <w:r w:rsidRPr="00912C1E">
        <w:rPr>
          <w:rFonts w:ascii="Times New Roman" w:hAnsi="Times New Roman" w:cs="Times New Roman"/>
          <w:sz w:val="24"/>
          <w:szCs w:val="24"/>
        </w:rPr>
        <w:tab/>
        <w:t>The method of claim 22, wherein the plant is a dicotyledonous plant selected from the group consisting of cotton, soybean, tomato, potato, citrus, tobacco, canola, and strawberry.</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24.</w:t>
      </w:r>
      <w:r w:rsidRPr="00912C1E">
        <w:rPr>
          <w:rFonts w:ascii="Times New Roman" w:hAnsi="Times New Roman" w:cs="Times New Roman"/>
          <w:sz w:val="24"/>
          <w:szCs w:val="24"/>
        </w:rPr>
        <w:tab/>
        <w:t xml:space="preserve">The method of claim 1 or 2, wherein said plant further comprises an additional nucleic acid sequence comprising a plant operable promoter linked to a polynucleotide sequence encoding a </w:t>
      </w:r>
      <w:proofErr w:type="spellStart"/>
      <w:r w:rsidRPr="00912C1E">
        <w:rPr>
          <w:rFonts w:ascii="Times New Roman" w:hAnsi="Times New Roman" w:cs="Times New Roman"/>
          <w:sz w:val="24"/>
          <w:szCs w:val="24"/>
        </w:rPr>
        <w:t>Cryl</w:t>
      </w:r>
      <w:proofErr w:type="spellEnd"/>
      <w:r w:rsidRPr="00912C1E">
        <w:rPr>
          <w:rFonts w:ascii="Times New Roman" w:hAnsi="Times New Roman" w:cs="Times New Roman"/>
          <w:sz w:val="24"/>
          <w:szCs w:val="24"/>
        </w:rPr>
        <w:t xml:space="preserve"> B.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delta-endotoxin protein.</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25.</w:t>
      </w:r>
      <w:r w:rsidRPr="00912C1E">
        <w:rPr>
          <w:rFonts w:ascii="Times New Roman" w:hAnsi="Times New Roman" w:cs="Times New Roman"/>
          <w:sz w:val="24"/>
          <w:szCs w:val="24"/>
        </w:rPr>
        <w:tab/>
        <w:t xml:space="preserve">A nucleic acid sequence comprising a promoter operably linked to a first polynucleotide sequence encoding a plastid transit peptide, which is linked in frame to a second polynucleotide sequence encoding a Cry2Ab Bacillus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8-endotoxin protein, wherein expression of said nucleic acid sequence by a plant cell produces a fusion protein comprising an amino-terminal plastid transit peptide covalently linked to said 5-endotoxin protein, and wherein said fusion protein functions to localize said delta-endotoxin protein to a subcellular organelle or compartment.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26.</w:t>
      </w:r>
      <w:r w:rsidRPr="00912C1E">
        <w:rPr>
          <w:rFonts w:ascii="Times New Roman" w:hAnsi="Times New Roman" w:cs="Times New Roman"/>
          <w:sz w:val="24"/>
          <w:szCs w:val="24"/>
        </w:rPr>
        <w:tab/>
        <w:t xml:space="preserve">The nucleic acid sequence of claim 25, wherein said second polynucleotide sequence encodes a Cry2Ab Bacillus </w:t>
      </w:r>
      <w:proofErr w:type="spellStart"/>
      <w:r w:rsidRPr="00912C1E">
        <w:rPr>
          <w:rFonts w:ascii="Times New Roman" w:hAnsi="Times New Roman" w:cs="Times New Roman"/>
          <w:sz w:val="24"/>
          <w:szCs w:val="24"/>
        </w:rPr>
        <w:t>thuringiensis</w:t>
      </w:r>
      <w:proofErr w:type="spellEnd"/>
      <w:r w:rsidRPr="00912C1E">
        <w:rPr>
          <w:rFonts w:ascii="Times New Roman" w:hAnsi="Times New Roman" w:cs="Times New Roman"/>
          <w:sz w:val="24"/>
          <w:szCs w:val="24"/>
        </w:rPr>
        <w:t xml:space="preserve"> delta-endotoxin protein selected from the group of sequences consisting of SEQ ID NO:2 and SEQ ID NO: 18.</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27.</w:t>
      </w:r>
      <w:r w:rsidRPr="00912C1E">
        <w:rPr>
          <w:rFonts w:ascii="Times New Roman" w:hAnsi="Times New Roman" w:cs="Times New Roman"/>
          <w:sz w:val="24"/>
          <w:szCs w:val="24"/>
        </w:rPr>
        <w:tab/>
        <w:t>The nucleic acid sequence of claim 26, wherein said second polynucleotide sequence is selected from the group of sequences consisting of SEQ ID NO: 1 and SEQ ID NO: 17.</w:t>
      </w:r>
    </w:p>
    <w:p w:rsid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rPr>
        <w:t>DECISION BY DIVISION BENCH OF HON’BLE DELHI HIGH COURT</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Excerpts taken from </w:t>
      </w:r>
      <w:proofErr w:type="spellStart"/>
      <w:r w:rsidRPr="00912C1E">
        <w:rPr>
          <w:rFonts w:ascii="Times New Roman" w:hAnsi="Times New Roman" w:cs="Times New Roman"/>
          <w:sz w:val="24"/>
          <w:szCs w:val="24"/>
        </w:rPr>
        <w:t>spicyip</w:t>
      </w:r>
      <w:proofErr w:type="spellEnd"/>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“A Division Bench of the Delhi High Court recently pronounced its judgment in the long running litigation between Monsanto and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The present judgment was delivered in </w:t>
      </w:r>
      <w:r w:rsidRPr="00912C1E">
        <w:rPr>
          <w:rFonts w:ascii="Times New Roman" w:hAnsi="Times New Roman" w:cs="Times New Roman"/>
          <w:sz w:val="24"/>
          <w:szCs w:val="24"/>
        </w:rPr>
        <w:lastRenderedPageBreak/>
        <w:t>cross appeals filed by both parties against the order of a single judge of the Delhi High Court that was delivered last year.</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To describe the judgment briefly, the court has delivered a knock-out punch to Monsanto, by declaring invalid its patent for Bt. Technology because Section 3(j) of the Patents Act prohibited the grant of patents for plants, plant varieties or seeds or any part thereof. The court however does give three months to Monsanto to seek protection for its invention under the Plant Variety Protection &amp; Farmer’s Rights Act, 2002. </w:t>
      </w: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The judgment is extraordinary because the usual remit of an appeals court is to review whether the trial court has abused its discretion. In this case, the trial court had refused to comment on the validity of Monsanto’s patent preferring to wait for the trial to conclude – this is a rather sensible course of action in patent cases involving complex issues of technology. However, in this case, the Division Bench has delivered a final judgment revoking the patent because Monsanto apparently agreed to waive its right to a trial and have the Division Bench decide the issue of patent validity once in for all. Monsanto’s decision to waive its right to trial on the issue of patent validity is one that can be described as either incredibly brave or incredibly over-confident. Trials give the opportunity to present expert witnesses and more importantly cross-examine witnesses from the other side to force admissions beneficial to your case. I cannot fathom why Monsanto would give up its right to a trial in such a complicated case. I also fail to understand how a court could revoke a patent without any “evidence”. At the very least the court should have asked for expert witness affidavits from both sides and then proceeded to decide the case using the affidavits as evidence.”</w:t>
      </w:r>
    </w:p>
    <w:p w:rsid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sz w:val="24"/>
          <w:szCs w:val="24"/>
        </w:rPr>
      </w:pPr>
      <w:r w:rsidRPr="00912C1E">
        <w:rPr>
          <w:rFonts w:ascii="Times New Roman" w:hAnsi="Times New Roman" w:cs="Times New Roman"/>
          <w:b/>
          <w:sz w:val="24"/>
          <w:szCs w:val="24"/>
        </w:rPr>
        <w:t>SOURCE: http://www.indiaenvironmentportal.org.in/files/BT%20cotton%20patents%20Monsanto%20Delhi%20High%20Court%20Order.pdf</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FAO (OS) (COMM) 86/2017 &amp; 76/2017 Page 1 of 60 * IN THE HIGH COURT OF DELHI AT </w:t>
      </w:r>
      <w:proofErr w:type="gramStart"/>
      <w:r w:rsidRPr="00912C1E">
        <w:rPr>
          <w:rFonts w:ascii="Times New Roman" w:hAnsi="Times New Roman" w:cs="Times New Roman"/>
          <w:sz w:val="24"/>
          <w:szCs w:val="24"/>
        </w:rPr>
        <w:t>NEW DELHI</w:t>
      </w:r>
      <w:proofErr w:type="gramEnd"/>
      <w:r w:rsidRPr="00912C1E">
        <w:rPr>
          <w:rFonts w:ascii="Times New Roman" w:hAnsi="Times New Roman" w:cs="Times New Roman"/>
          <w:sz w:val="24"/>
          <w:szCs w:val="24"/>
        </w:rPr>
        <w:t xml:space="preserve"> Reserved on: 09.03.2018 Pronounced on: 11.04.2018 + FAO (OS) (COMM) 86/2017, C.M. APPL.14331, 14335, 15669, 17064/2017 NUZIVEEDU SEEDS LTD. AND ORS. …Appellants Through: Sh. C.A. </w:t>
      </w:r>
      <w:proofErr w:type="spellStart"/>
      <w:r w:rsidRPr="00912C1E">
        <w:rPr>
          <w:rFonts w:ascii="Times New Roman" w:hAnsi="Times New Roman" w:cs="Times New Roman"/>
          <w:sz w:val="24"/>
          <w:szCs w:val="24"/>
        </w:rPr>
        <w:t>Sundaram</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Jayant</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Bhushan</w:t>
      </w:r>
      <w:proofErr w:type="spellEnd"/>
      <w:r w:rsidRPr="00912C1E">
        <w:rPr>
          <w:rFonts w:ascii="Times New Roman" w:hAnsi="Times New Roman" w:cs="Times New Roman"/>
          <w:sz w:val="24"/>
          <w:szCs w:val="24"/>
        </w:rPr>
        <w:t xml:space="preserve">, Sr. Advocate with Ms. </w:t>
      </w:r>
      <w:proofErr w:type="spellStart"/>
      <w:r w:rsidRPr="00912C1E">
        <w:rPr>
          <w:rFonts w:ascii="Times New Roman" w:hAnsi="Times New Roman" w:cs="Times New Roman"/>
          <w:sz w:val="24"/>
          <w:szCs w:val="24"/>
        </w:rPr>
        <w:t>Diya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Kapur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Swathi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Sukumar</w:t>
      </w:r>
      <w:proofErr w:type="spellEnd"/>
      <w:r w:rsidRPr="00912C1E">
        <w:rPr>
          <w:rFonts w:ascii="Times New Roman" w:hAnsi="Times New Roman" w:cs="Times New Roman"/>
          <w:sz w:val="24"/>
          <w:szCs w:val="24"/>
        </w:rPr>
        <w:t xml:space="preserve">, Ms. Swati </w:t>
      </w:r>
      <w:proofErr w:type="spellStart"/>
      <w:r w:rsidRPr="00912C1E">
        <w:rPr>
          <w:rFonts w:ascii="Times New Roman" w:hAnsi="Times New Roman" w:cs="Times New Roman"/>
          <w:sz w:val="24"/>
          <w:szCs w:val="24"/>
        </w:rPr>
        <w:t>Setia</w:t>
      </w:r>
      <w:proofErr w:type="spellEnd"/>
      <w:r w:rsidRPr="00912C1E">
        <w:rPr>
          <w:rFonts w:ascii="Times New Roman" w:hAnsi="Times New Roman" w:cs="Times New Roman"/>
          <w:sz w:val="24"/>
          <w:szCs w:val="24"/>
        </w:rPr>
        <w:t xml:space="preserve">, Sh. Essence </w:t>
      </w:r>
      <w:proofErr w:type="spellStart"/>
      <w:r w:rsidRPr="00912C1E">
        <w:rPr>
          <w:rFonts w:ascii="Times New Roman" w:hAnsi="Times New Roman" w:cs="Times New Roman"/>
          <w:sz w:val="24"/>
          <w:szCs w:val="24"/>
        </w:rPr>
        <w:t>Obhan</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Himanie</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Katoch</w:t>
      </w:r>
      <w:proofErr w:type="spellEnd"/>
      <w:r w:rsidRPr="00912C1E">
        <w:rPr>
          <w:rFonts w:ascii="Times New Roman" w:hAnsi="Times New Roman" w:cs="Times New Roman"/>
          <w:sz w:val="24"/>
          <w:szCs w:val="24"/>
        </w:rPr>
        <w:t xml:space="preserve">, Sh. Nikhil </w:t>
      </w:r>
      <w:proofErr w:type="spellStart"/>
      <w:r w:rsidRPr="00912C1E">
        <w:rPr>
          <w:rFonts w:ascii="Times New Roman" w:hAnsi="Times New Roman" w:cs="Times New Roman"/>
          <w:sz w:val="24"/>
          <w:szCs w:val="24"/>
        </w:rPr>
        <w:t>Ratti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Kapoor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Aakanksha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Kaul</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Pooja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Katara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Charul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Yadav</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Abhishek</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Saket</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Vijaya</w:t>
      </w:r>
      <w:proofErr w:type="spellEnd"/>
      <w:r w:rsidRPr="00912C1E">
        <w:rPr>
          <w:rFonts w:ascii="Times New Roman" w:hAnsi="Times New Roman" w:cs="Times New Roman"/>
          <w:sz w:val="24"/>
          <w:szCs w:val="24"/>
        </w:rPr>
        <w:t xml:space="preserve"> Singh, Sh. </w:t>
      </w:r>
      <w:proofErr w:type="spellStart"/>
      <w:r w:rsidRPr="00912C1E">
        <w:rPr>
          <w:rFonts w:ascii="Times New Roman" w:hAnsi="Times New Roman" w:cs="Times New Roman"/>
          <w:sz w:val="24"/>
          <w:szCs w:val="24"/>
        </w:rPr>
        <w:t>Jatin</w:t>
      </w:r>
      <w:proofErr w:type="spellEnd"/>
      <w:r w:rsidRPr="00912C1E">
        <w:rPr>
          <w:rFonts w:ascii="Times New Roman" w:hAnsi="Times New Roman" w:cs="Times New Roman"/>
          <w:sz w:val="24"/>
          <w:szCs w:val="24"/>
        </w:rPr>
        <w:t xml:space="preserve"> and Ms. </w:t>
      </w:r>
      <w:proofErr w:type="spellStart"/>
      <w:r w:rsidRPr="00912C1E">
        <w:rPr>
          <w:rFonts w:ascii="Times New Roman" w:hAnsi="Times New Roman" w:cs="Times New Roman"/>
          <w:sz w:val="24"/>
          <w:szCs w:val="24"/>
        </w:rPr>
        <w:t>Rohini</w:t>
      </w:r>
      <w:proofErr w:type="spellEnd"/>
      <w:r w:rsidRPr="00912C1E">
        <w:rPr>
          <w:rFonts w:ascii="Times New Roman" w:hAnsi="Times New Roman" w:cs="Times New Roman"/>
          <w:sz w:val="24"/>
          <w:szCs w:val="24"/>
        </w:rPr>
        <w:t xml:space="preserve"> Musa, Advocates. </w:t>
      </w:r>
      <w:proofErr w:type="gramStart"/>
      <w:r w:rsidRPr="00912C1E">
        <w:rPr>
          <w:rFonts w:ascii="Times New Roman" w:hAnsi="Times New Roman" w:cs="Times New Roman"/>
          <w:sz w:val="24"/>
          <w:szCs w:val="24"/>
        </w:rPr>
        <w:t>Versus MONSANTO TECHNOLOGY LLC AND ORS.</w:t>
      </w:r>
      <w:proofErr w:type="gram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…..Respondents Through: Sh. </w:t>
      </w:r>
      <w:proofErr w:type="spellStart"/>
      <w:r w:rsidRPr="00912C1E">
        <w:rPr>
          <w:rFonts w:ascii="Times New Roman" w:hAnsi="Times New Roman" w:cs="Times New Roman"/>
          <w:sz w:val="24"/>
          <w:szCs w:val="24"/>
        </w:rPr>
        <w:t>Sandeep</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Sethi</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Prathiba</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M. Singh, Sh. C.M. </w:t>
      </w:r>
      <w:proofErr w:type="spellStart"/>
      <w:r w:rsidRPr="00912C1E">
        <w:rPr>
          <w:rFonts w:ascii="Times New Roman" w:hAnsi="Times New Roman" w:cs="Times New Roman"/>
          <w:sz w:val="24"/>
          <w:szCs w:val="24"/>
        </w:rPr>
        <w:t>Lall</w:t>
      </w:r>
      <w:proofErr w:type="spellEnd"/>
      <w:r w:rsidRPr="00912C1E">
        <w:rPr>
          <w:rFonts w:ascii="Times New Roman" w:hAnsi="Times New Roman" w:cs="Times New Roman"/>
          <w:sz w:val="24"/>
          <w:szCs w:val="24"/>
        </w:rPr>
        <w:t xml:space="preserve">, Sr. Advocates with Ms. </w:t>
      </w:r>
      <w:proofErr w:type="spellStart"/>
      <w:r w:rsidRPr="00912C1E">
        <w:rPr>
          <w:rFonts w:ascii="Times New Roman" w:hAnsi="Times New Roman" w:cs="Times New Roman"/>
          <w:sz w:val="24"/>
          <w:szCs w:val="24"/>
        </w:rPr>
        <w:t>Bitika</w:t>
      </w:r>
      <w:proofErr w:type="spellEnd"/>
      <w:r w:rsidRPr="00912C1E">
        <w:rPr>
          <w:rFonts w:ascii="Times New Roman" w:hAnsi="Times New Roman" w:cs="Times New Roman"/>
          <w:sz w:val="24"/>
          <w:szCs w:val="24"/>
        </w:rPr>
        <w:t xml:space="preserve"> Sharma, Sh. </w:t>
      </w:r>
      <w:proofErr w:type="spellStart"/>
      <w:r w:rsidRPr="00912C1E">
        <w:rPr>
          <w:rFonts w:ascii="Times New Roman" w:hAnsi="Times New Roman" w:cs="Times New Roman"/>
          <w:sz w:val="24"/>
          <w:szCs w:val="24"/>
        </w:rPr>
        <w:t>Kapil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Midha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Namrita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Kochhar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Deepshika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Malhotra</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Adarsh</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Ramanujam</w:t>
      </w:r>
      <w:proofErr w:type="spellEnd"/>
      <w:r w:rsidRPr="00912C1E">
        <w:rPr>
          <w:rFonts w:ascii="Times New Roman" w:hAnsi="Times New Roman" w:cs="Times New Roman"/>
          <w:sz w:val="24"/>
          <w:szCs w:val="24"/>
        </w:rPr>
        <w:t xml:space="preserve">, Sh. Anil </w:t>
      </w:r>
      <w:proofErr w:type="spellStart"/>
      <w:r w:rsidRPr="00912C1E">
        <w:rPr>
          <w:rFonts w:ascii="Times New Roman" w:hAnsi="Times New Roman" w:cs="Times New Roman"/>
          <w:sz w:val="24"/>
          <w:szCs w:val="24"/>
        </w:rPr>
        <w:t>Dutt</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Shantanu</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Agarwal</w:t>
      </w:r>
      <w:proofErr w:type="spellEnd"/>
      <w:r w:rsidRPr="00912C1E">
        <w:rPr>
          <w:rFonts w:ascii="Times New Roman" w:hAnsi="Times New Roman" w:cs="Times New Roman"/>
          <w:sz w:val="24"/>
          <w:szCs w:val="24"/>
        </w:rPr>
        <w:t xml:space="preserve">, Sh. Rishi </w:t>
      </w:r>
      <w:proofErr w:type="spellStart"/>
      <w:r w:rsidRPr="00912C1E">
        <w:rPr>
          <w:rFonts w:ascii="Times New Roman" w:hAnsi="Times New Roman" w:cs="Times New Roman"/>
          <w:sz w:val="24"/>
          <w:szCs w:val="24"/>
        </w:rPr>
        <w:t>Agarwala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Anusuya</w:t>
      </w:r>
      <w:proofErr w:type="spellEnd"/>
      <w:r w:rsidRPr="00912C1E">
        <w:rPr>
          <w:rFonts w:ascii="Times New Roman" w:hAnsi="Times New Roman" w:cs="Times New Roman"/>
          <w:sz w:val="24"/>
          <w:szCs w:val="24"/>
        </w:rPr>
        <w:t xml:space="preserve"> Nigam, Sh. </w:t>
      </w:r>
      <w:proofErr w:type="spellStart"/>
      <w:r w:rsidRPr="00912C1E">
        <w:rPr>
          <w:rFonts w:ascii="Times New Roman" w:hAnsi="Times New Roman" w:cs="Times New Roman"/>
          <w:sz w:val="24"/>
          <w:szCs w:val="24"/>
        </w:rPr>
        <w:t>Lakshay</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Kaushik</w:t>
      </w:r>
      <w:proofErr w:type="spellEnd"/>
      <w:r w:rsidRPr="00912C1E">
        <w:rPr>
          <w:rFonts w:ascii="Times New Roman" w:hAnsi="Times New Roman" w:cs="Times New Roman"/>
          <w:sz w:val="24"/>
          <w:szCs w:val="24"/>
        </w:rPr>
        <w:t xml:space="preserve"> and Ms. </w:t>
      </w:r>
      <w:proofErr w:type="spellStart"/>
      <w:r w:rsidRPr="00912C1E">
        <w:rPr>
          <w:rFonts w:ascii="Times New Roman" w:hAnsi="Times New Roman" w:cs="Times New Roman"/>
          <w:sz w:val="24"/>
          <w:szCs w:val="24"/>
        </w:rPr>
        <w:t>Ruchika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Wadhawan</w:t>
      </w:r>
      <w:proofErr w:type="spellEnd"/>
      <w:r w:rsidRPr="00912C1E">
        <w:rPr>
          <w:rFonts w:ascii="Times New Roman" w:hAnsi="Times New Roman" w:cs="Times New Roman"/>
          <w:sz w:val="24"/>
          <w:szCs w:val="24"/>
        </w:rPr>
        <w:t xml:space="preserve">, Advocates. Sh. Sunil Mathews, Advocate, for UOI. Sh. Neel Mason and Ms. </w:t>
      </w:r>
      <w:proofErr w:type="spellStart"/>
      <w:r w:rsidRPr="00912C1E">
        <w:rPr>
          <w:rFonts w:ascii="Times New Roman" w:hAnsi="Times New Roman" w:cs="Times New Roman"/>
          <w:sz w:val="24"/>
          <w:szCs w:val="24"/>
        </w:rPr>
        <w:t>Ridhima</w:t>
      </w:r>
      <w:proofErr w:type="spellEnd"/>
      <w:r w:rsidRPr="00912C1E">
        <w:rPr>
          <w:rFonts w:ascii="Times New Roman" w:hAnsi="Times New Roman" w:cs="Times New Roman"/>
          <w:sz w:val="24"/>
          <w:szCs w:val="24"/>
        </w:rPr>
        <w:t xml:space="preserve">, Advocates, for Amar Biotech Ltd. Sh. </w:t>
      </w:r>
      <w:proofErr w:type="spellStart"/>
      <w:r w:rsidRPr="00912C1E">
        <w:rPr>
          <w:rFonts w:ascii="Times New Roman" w:hAnsi="Times New Roman" w:cs="Times New Roman"/>
          <w:sz w:val="24"/>
          <w:szCs w:val="24"/>
        </w:rPr>
        <w:t>Anup</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Bhambhani</w:t>
      </w:r>
      <w:proofErr w:type="spellEnd"/>
      <w:r w:rsidRPr="00912C1E">
        <w:rPr>
          <w:rFonts w:ascii="Times New Roman" w:hAnsi="Times New Roman" w:cs="Times New Roman"/>
          <w:sz w:val="24"/>
          <w:szCs w:val="24"/>
        </w:rPr>
        <w:t xml:space="preserve">, Sr. Advocate with Sh. </w:t>
      </w:r>
      <w:proofErr w:type="spellStart"/>
      <w:r w:rsidRPr="00912C1E">
        <w:rPr>
          <w:rFonts w:ascii="Times New Roman" w:hAnsi="Times New Roman" w:cs="Times New Roman"/>
          <w:sz w:val="24"/>
          <w:szCs w:val="24"/>
        </w:rPr>
        <w:t>Jatin</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Mongia</w:t>
      </w:r>
      <w:proofErr w:type="spellEnd"/>
      <w:r w:rsidRPr="00912C1E">
        <w:rPr>
          <w:rFonts w:ascii="Times New Roman" w:hAnsi="Times New Roman" w:cs="Times New Roman"/>
          <w:sz w:val="24"/>
          <w:szCs w:val="24"/>
        </w:rPr>
        <w:t xml:space="preserve"> and Sh. </w:t>
      </w:r>
      <w:proofErr w:type="spellStart"/>
      <w:r w:rsidRPr="00912C1E">
        <w:rPr>
          <w:rFonts w:ascii="Times New Roman" w:hAnsi="Times New Roman" w:cs="Times New Roman"/>
          <w:sz w:val="24"/>
          <w:szCs w:val="24"/>
        </w:rPr>
        <w:t>Animesh</w:t>
      </w:r>
      <w:proofErr w:type="spellEnd"/>
      <w:r w:rsidRPr="00912C1E">
        <w:rPr>
          <w:rFonts w:ascii="Times New Roman" w:hAnsi="Times New Roman" w:cs="Times New Roman"/>
          <w:sz w:val="24"/>
          <w:szCs w:val="24"/>
        </w:rPr>
        <w:t xml:space="preserve"> Kumar, Advocate, for applicant in C.M. No.17064/2017. FAO (OS) (COMM) 86/2017 &amp; 76/2017 Page 2 of 60 + FAO (OS) (COMM) 76/2017, CAV. 328/2017, C.M. APPL.13348- 13352/2017 MONSANTO TECHNOLOGY LLC AND ORS. </w:t>
      </w:r>
      <w:proofErr w:type="gramStart"/>
      <w:r w:rsidRPr="00912C1E">
        <w:rPr>
          <w:rFonts w:ascii="Times New Roman" w:hAnsi="Times New Roman" w:cs="Times New Roman"/>
          <w:sz w:val="24"/>
          <w:szCs w:val="24"/>
        </w:rPr>
        <w:t xml:space="preserve">…..Appellants Through: Sh. </w:t>
      </w:r>
      <w:proofErr w:type="spellStart"/>
      <w:r w:rsidRPr="00912C1E">
        <w:rPr>
          <w:rFonts w:ascii="Times New Roman" w:hAnsi="Times New Roman" w:cs="Times New Roman"/>
          <w:sz w:val="24"/>
          <w:szCs w:val="24"/>
        </w:rPr>
        <w:t>Sandeep</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Sethi</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Prathiba</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M. Singh, Sh. C.M. </w:t>
      </w:r>
      <w:proofErr w:type="spellStart"/>
      <w:r w:rsidRPr="00912C1E">
        <w:rPr>
          <w:rFonts w:ascii="Times New Roman" w:hAnsi="Times New Roman" w:cs="Times New Roman"/>
          <w:sz w:val="24"/>
          <w:szCs w:val="24"/>
        </w:rPr>
        <w:t>Lall</w:t>
      </w:r>
      <w:proofErr w:type="spellEnd"/>
      <w:r w:rsidRPr="00912C1E">
        <w:rPr>
          <w:rFonts w:ascii="Times New Roman" w:hAnsi="Times New Roman" w:cs="Times New Roman"/>
          <w:sz w:val="24"/>
          <w:szCs w:val="24"/>
        </w:rPr>
        <w:t xml:space="preserve">, Sr. Advocates with Ms. </w:t>
      </w:r>
      <w:proofErr w:type="spellStart"/>
      <w:r w:rsidRPr="00912C1E">
        <w:rPr>
          <w:rFonts w:ascii="Times New Roman" w:hAnsi="Times New Roman" w:cs="Times New Roman"/>
          <w:sz w:val="24"/>
          <w:szCs w:val="24"/>
        </w:rPr>
        <w:t>Bitika</w:t>
      </w:r>
      <w:proofErr w:type="spellEnd"/>
      <w:r w:rsidRPr="00912C1E">
        <w:rPr>
          <w:rFonts w:ascii="Times New Roman" w:hAnsi="Times New Roman" w:cs="Times New Roman"/>
          <w:sz w:val="24"/>
          <w:szCs w:val="24"/>
        </w:rPr>
        <w:t xml:space="preserve"> Sharma, Sh. </w:t>
      </w:r>
      <w:proofErr w:type="spellStart"/>
      <w:r w:rsidRPr="00912C1E">
        <w:rPr>
          <w:rFonts w:ascii="Times New Roman" w:hAnsi="Times New Roman" w:cs="Times New Roman"/>
          <w:sz w:val="24"/>
          <w:szCs w:val="24"/>
        </w:rPr>
        <w:t>Kapil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Midha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Namrita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Kochhar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Deepshika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Malhotra</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Adarsh</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Ramanujam</w:t>
      </w:r>
      <w:proofErr w:type="spellEnd"/>
      <w:r w:rsidRPr="00912C1E">
        <w:rPr>
          <w:rFonts w:ascii="Times New Roman" w:hAnsi="Times New Roman" w:cs="Times New Roman"/>
          <w:sz w:val="24"/>
          <w:szCs w:val="24"/>
        </w:rPr>
        <w:t xml:space="preserve">, Sh. Anil </w:t>
      </w:r>
      <w:proofErr w:type="spellStart"/>
      <w:r w:rsidRPr="00912C1E">
        <w:rPr>
          <w:rFonts w:ascii="Times New Roman" w:hAnsi="Times New Roman" w:cs="Times New Roman"/>
          <w:sz w:val="24"/>
          <w:szCs w:val="24"/>
        </w:rPr>
        <w:lastRenderedPageBreak/>
        <w:t>Dutt</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Shantanu</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Agarwal</w:t>
      </w:r>
      <w:proofErr w:type="spellEnd"/>
      <w:r w:rsidRPr="00912C1E">
        <w:rPr>
          <w:rFonts w:ascii="Times New Roman" w:hAnsi="Times New Roman" w:cs="Times New Roman"/>
          <w:sz w:val="24"/>
          <w:szCs w:val="24"/>
        </w:rPr>
        <w:t xml:space="preserve">, Sh. Rishi </w:t>
      </w:r>
      <w:proofErr w:type="spellStart"/>
      <w:r w:rsidRPr="00912C1E">
        <w:rPr>
          <w:rFonts w:ascii="Times New Roman" w:hAnsi="Times New Roman" w:cs="Times New Roman"/>
          <w:sz w:val="24"/>
          <w:szCs w:val="24"/>
        </w:rPr>
        <w:t>Agarwala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Anusuya</w:t>
      </w:r>
      <w:proofErr w:type="spellEnd"/>
      <w:r w:rsidRPr="00912C1E">
        <w:rPr>
          <w:rFonts w:ascii="Times New Roman" w:hAnsi="Times New Roman" w:cs="Times New Roman"/>
          <w:sz w:val="24"/>
          <w:szCs w:val="24"/>
        </w:rPr>
        <w:t xml:space="preserve"> Nigam, Sh. </w:t>
      </w:r>
      <w:proofErr w:type="spellStart"/>
      <w:r w:rsidRPr="00912C1E">
        <w:rPr>
          <w:rFonts w:ascii="Times New Roman" w:hAnsi="Times New Roman" w:cs="Times New Roman"/>
          <w:sz w:val="24"/>
          <w:szCs w:val="24"/>
        </w:rPr>
        <w:t>Lakshay</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Kaushik</w:t>
      </w:r>
      <w:proofErr w:type="spellEnd"/>
      <w:r w:rsidRPr="00912C1E">
        <w:rPr>
          <w:rFonts w:ascii="Times New Roman" w:hAnsi="Times New Roman" w:cs="Times New Roman"/>
          <w:sz w:val="24"/>
          <w:szCs w:val="24"/>
        </w:rPr>
        <w:t xml:space="preserve"> and Ms. </w:t>
      </w:r>
      <w:proofErr w:type="spellStart"/>
      <w:r w:rsidRPr="00912C1E">
        <w:rPr>
          <w:rFonts w:ascii="Times New Roman" w:hAnsi="Times New Roman" w:cs="Times New Roman"/>
          <w:sz w:val="24"/>
          <w:szCs w:val="24"/>
        </w:rPr>
        <w:t>Ruchika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Wadhawan</w:t>
      </w:r>
      <w:proofErr w:type="spellEnd"/>
      <w:r w:rsidRPr="00912C1E">
        <w:rPr>
          <w:rFonts w:ascii="Times New Roman" w:hAnsi="Times New Roman" w:cs="Times New Roman"/>
          <w:sz w:val="24"/>
          <w:szCs w:val="24"/>
        </w:rPr>
        <w:t xml:space="preserve">, Advocates. </w:t>
      </w:r>
      <w:proofErr w:type="gramStart"/>
      <w:r w:rsidRPr="00912C1E">
        <w:rPr>
          <w:rFonts w:ascii="Times New Roman" w:hAnsi="Times New Roman" w:cs="Times New Roman"/>
          <w:sz w:val="24"/>
          <w:szCs w:val="24"/>
        </w:rPr>
        <w:t>NUZIVEEDU SEEDS LTD. AND ORS.</w:t>
      </w:r>
      <w:proofErr w:type="gramEnd"/>
      <w:r w:rsidRPr="00912C1E">
        <w:rPr>
          <w:rFonts w:ascii="Times New Roman" w:hAnsi="Times New Roman" w:cs="Times New Roman"/>
          <w:sz w:val="24"/>
          <w:szCs w:val="24"/>
        </w:rPr>
        <w:t xml:space="preserve"> …Respondents Through: Sh. C.A. </w:t>
      </w:r>
      <w:proofErr w:type="spellStart"/>
      <w:r w:rsidRPr="00912C1E">
        <w:rPr>
          <w:rFonts w:ascii="Times New Roman" w:hAnsi="Times New Roman" w:cs="Times New Roman"/>
          <w:sz w:val="24"/>
          <w:szCs w:val="24"/>
        </w:rPr>
        <w:t>Sundaram</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Jayant</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Bhushan</w:t>
      </w:r>
      <w:proofErr w:type="spellEnd"/>
      <w:r w:rsidRPr="00912C1E">
        <w:rPr>
          <w:rFonts w:ascii="Times New Roman" w:hAnsi="Times New Roman" w:cs="Times New Roman"/>
          <w:sz w:val="24"/>
          <w:szCs w:val="24"/>
        </w:rPr>
        <w:t xml:space="preserve">, Sr. Advocate with Ms. </w:t>
      </w:r>
      <w:proofErr w:type="spellStart"/>
      <w:r w:rsidRPr="00912C1E">
        <w:rPr>
          <w:rFonts w:ascii="Times New Roman" w:hAnsi="Times New Roman" w:cs="Times New Roman"/>
          <w:sz w:val="24"/>
          <w:szCs w:val="24"/>
        </w:rPr>
        <w:t>Diya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Kapur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Swathi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Sukumar</w:t>
      </w:r>
      <w:proofErr w:type="spellEnd"/>
      <w:r w:rsidRPr="00912C1E">
        <w:rPr>
          <w:rFonts w:ascii="Times New Roman" w:hAnsi="Times New Roman" w:cs="Times New Roman"/>
          <w:sz w:val="24"/>
          <w:szCs w:val="24"/>
        </w:rPr>
        <w:t xml:space="preserve">, Ms. Swati </w:t>
      </w:r>
      <w:proofErr w:type="spellStart"/>
      <w:r w:rsidRPr="00912C1E">
        <w:rPr>
          <w:rFonts w:ascii="Times New Roman" w:hAnsi="Times New Roman" w:cs="Times New Roman"/>
          <w:sz w:val="24"/>
          <w:szCs w:val="24"/>
        </w:rPr>
        <w:t>Setia</w:t>
      </w:r>
      <w:proofErr w:type="spellEnd"/>
      <w:r w:rsidRPr="00912C1E">
        <w:rPr>
          <w:rFonts w:ascii="Times New Roman" w:hAnsi="Times New Roman" w:cs="Times New Roman"/>
          <w:sz w:val="24"/>
          <w:szCs w:val="24"/>
        </w:rPr>
        <w:t xml:space="preserve">, Sh. Essence </w:t>
      </w:r>
      <w:proofErr w:type="spellStart"/>
      <w:r w:rsidRPr="00912C1E">
        <w:rPr>
          <w:rFonts w:ascii="Times New Roman" w:hAnsi="Times New Roman" w:cs="Times New Roman"/>
          <w:sz w:val="24"/>
          <w:szCs w:val="24"/>
        </w:rPr>
        <w:t>Obhan</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Himanie</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Katoch</w:t>
      </w:r>
      <w:proofErr w:type="spellEnd"/>
      <w:r w:rsidRPr="00912C1E">
        <w:rPr>
          <w:rFonts w:ascii="Times New Roman" w:hAnsi="Times New Roman" w:cs="Times New Roman"/>
          <w:sz w:val="24"/>
          <w:szCs w:val="24"/>
        </w:rPr>
        <w:t xml:space="preserve">, Sh. Nikhil </w:t>
      </w:r>
      <w:proofErr w:type="spellStart"/>
      <w:r w:rsidRPr="00912C1E">
        <w:rPr>
          <w:rFonts w:ascii="Times New Roman" w:hAnsi="Times New Roman" w:cs="Times New Roman"/>
          <w:sz w:val="24"/>
          <w:szCs w:val="24"/>
        </w:rPr>
        <w:t>Ratti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Kapoor</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Aakanksha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Kaul</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Pooja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Katara</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Charul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Yadav</w:t>
      </w:r>
      <w:proofErr w:type="spellEnd"/>
      <w:r w:rsidRPr="00912C1E">
        <w:rPr>
          <w:rFonts w:ascii="Times New Roman" w:hAnsi="Times New Roman" w:cs="Times New Roman"/>
          <w:sz w:val="24"/>
          <w:szCs w:val="24"/>
        </w:rPr>
        <w:t xml:space="preserve">, Sh. </w:t>
      </w:r>
      <w:proofErr w:type="spellStart"/>
      <w:r w:rsidRPr="00912C1E">
        <w:rPr>
          <w:rFonts w:ascii="Times New Roman" w:hAnsi="Times New Roman" w:cs="Times New Roman"/>
          <w:sz w:val="24"/>
          <w:szCs w:val="24"/>
        </w:rPr>
        <w:t>Abhishek</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Saket</w:t>
      </w:r>
      <w:proofErr w:type="spellEnd"/>
      <w:r w:rsidRPr="00912C1E">
        <w:rPr>
          <w:rFonts w:ascii="Times New Roman" w:hAnsi="Times New Roman" w:cs="Times New Roman"/>
          <w:sz w:val="24"/>
          <w:szCs w:val="24"/>
        </w:rPr>
        <w:t xml:space="preserve">, Ms. </w:t>
      </w:r>
      <w:proofErr w:type="spellStart"/>
      <w:r w:rsidRPr="00912C1E">
        <w:rPr>
          <w:rFonts w:ascii="Times New Roman" w:hAnsi="Times New Roman" w:cs="Times New Roman"/>
          <w:sz w:val="24"/>
          <w:szCs w:val="24"/>
        </w:rPr>
        <w:t>Vijaya</w:t>
      </w:r>
      <w:proofErr w:type="spellEnd"/>
      <w:r w:rsidRPr="00912C1E">
        <w:rPr>
          <w:rFonts w:ascii="Times New Roman" w:hAnsi="Times New Roman" w:cs="Times New Roman"/>
          <w:sz w:val="24"/>
          <w:szCs w:val="24"/>
        </w:rPr>
        <w:t xml:space="preserve"> Singh, Sh. </w:t>
      </w:r>
      <w:proofErr w:type="spellStart"/>
      <w:r w:rsidRPr="00912C1E">
        <w:rPr>
          <w:rFonts w:ascii="Times New Roman" w:hAnsi="Times New Roman" w:cs="Times New Roman"/>
          <w:sz w:val="24"/>
          <w:szCs w:val="24"/>
        </w:rPr>
        <w:t>Jatin</w:t>
      </w:r>
      <w:proofErr w:type="spellEnd"/>
      <w:r w:rsidRPr="00912C1E">
        <w:rPr>
          <w:rFonts w:ascii="Times New Roman" w:hAnsi="Times New Roman" w:cs="Times New Roman"/>
          <w:sz w:val="24"/>
          <w:szCs w:val="24"/>
        </w:rPr>
        <w:t xml:space="preserve"> and Ms. </w:t>
      </w:r>
      <w:proofErr w:type="spellStart"/>
      <w:r w:rsidRPr="00912C1E">
        <w:rPr>
          <w:rFonts w:ascii="Times New Roman" w:hAnsi="Times New Roman" w:cs="Times New Roman"/>
          <w:sz w:val="24"/>
          <w:szCs w:val="24"/>
        </w:rPr>
        <w:t>Rohini</w:t>
      </w:r>
      <w:proofErr w:type="spellEnd"/>
      <w:r w:rsidRPr="00912C1E">
        <w:rPr>
          <w:rFonts w:ascii="Times New Roman" w:hAnsi="Times New Roman" w:cs="Times New Roman"/>
          <w:sz w:val="24"/>
          <w:szCs w:val="24"/>
        </w:rPr>
        <w:t xml:space="preserve"> Musa, Advocates. CORAM: HON'BLE MR. JUSTICE S. RAVINDRA BHAT HON'BLE MR. JUSTICE YOGESH KHANNA MR. JUSTICE S. RAVINDRA BHAT % Facts 1. This common judgment disposes of two appeals (FAO (OS) 86/2017 and FAO (OS) (COMM) 76/2017).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FINAL DECISION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view of the above reasons, this Court records its conclusions and directs as follows: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(1) The subject patent falls within the exclusion spelt out by Section 3 (j) of the Patents Act; the subject patent and the claims covered by it are consequently held to be </w:t>
      </w:r>
      <w:proofErr w:type="spellStart"/>
      <w:r w:rsidRPr="00912C1E">
        <w:rPr>
          <w:rFonts w:ascii="Times New Roman" w:hAnsi="Times New Roman" w:cs="Times New Roman"/>
          <w:sz w:val="24"/>
          <w:szCs w:val="24"/>
        </w:rPr>
        <w:t>unpatentable</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Nuziveedu‟s</w:t>
      </w:r>
      <w:proofErr w:type="spellEnd"/>
      <w:r w:rsidRPr="00912C1E">
        <w:rPr>
          <w:rFonts w:ascii="Times New Roman" w:hAnsi="Times New Roman" w:cs="Times New Roman"/>
          <w:sz w:val="24"/>
          <w:szCs w:val="24"/>
        </w:rPr>
        <w:t xml:space="preserve"> counter claim is, therefore, entitled to succeed and is consequently allowed.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(2) </w:t>
      </w:r>
      <w:proofErr w:type="spellStart"/>
      <w:r w:rsidRPr="00912C1E">
        <w:rPr>
          <w:rFonts w:ascii="Times New Roman" w:hAnsi="Times New Roman" w:cs="Times New Roman"/>
          <w:sz w:val="24"/>
          <w:szCs w:val="24"/>
        </w:rPr>
        <w:t>Monsanto‟s</w:t>
      </w:r>
      <w:proofErr w:type="spellEnd"/>
      <w:r w:rsidRPr="00912C1E">
        <w:rPr>
          <w:rFonts w:ascii="Times New Roman" w:hAnsi="Times New Roman" w:cs="Times New Roman"/>
          <w:sz w:val="24"/>
          <w:szCs w:val="24"/>
        </w:rPr>
        <w:t xml:space="preserve"> Suit </w:t>
      </w:r>
      <w:proofErr w:type="gramStart"/>
      <w:r w:rsidRPr="00912C1E">
        <w:rPr>
          <w:rFonts w:ascii="Times New Roman" w:hAnsi="Times New Roman" w:cs="Times New Roman"/>
          <w:sz w:val="24"/>
          <w:szCs w:val="24"/>
        </w:rPr>
        <w:t>CS(</w:t>
      </w:r>
      <w:proofErr w:type="gramEnd"/>
      <w:r w:rsidRPr="00912C1E">
        <w:rPr>
          <w:rFonts w:ascii="Times New Roman" w:hAnsi="Times New Roman" w:cs="Times New Roman"/>
          <w:sz w:val="24"/>
          <w:szCs w:val="24"/>
        </w:rPr>
        <w:t>OS)(</w:t>
      </w:r>
      <w:proofErr w:type="spellStart"/>
      <w:r w:rsidRPr="00912C1E">
        <w:rPr>
          <w:rFonts w:ascii="Times New Roman" w:hAnsi="Times New Roman" w:cs="Times New Roman"/>
          <w:sz w:val="24"/>
          <w:szCs w:val="24"/>
        </w:rPr>
        <w:t>Comm</w:t>
      </w:r>
      <w:proofErr w:type="spellEnd"/>
      <w:r w:rsidRPr="00912C1E">
        <w:rPr>
          <w:rFonts w:ascii="Times New Roman" w:hAnsi="Times New Roman" w:cs="Times New Roman"/>
          <w:sz w:val="24"/>
          <w:szCs w:val="24"/>
        </w:rPr>
        <w:t xml:space="preserve">) 132/2016, to the extent it seeks enforcement of the subject patent, is dismissed. However, the suit can proceed with respect to the claim for damages and other reliefs, in the light of the sub-license termination notices issued.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(3) The learned single </w:t>
      </w:r>
      <w:proofErr w:type="spellStart"/>
      <w:r w:rsidRPr="00912C1E">
        <w:rPr>
          <w:rFonts w:ascii="Times New Roman" w:hAnsi="Times New Roman" w:cs="Times New Roman"/>
          <w:sz w:val="24"/>
          <w:szCs w:val="24"/>
        </w:rPr>
        <w:t>judge‟s</w:t>
      </w:r>
      <w:proofErr w:type="spellEnd"/>
      <w:r w:rsidRPr="00912C1E">
        <w:rPr>
          <w:rFonts w:ascii="Times New Roman" w:hAnsi="Times New Roman" w:cs="Times New Roman"/>
          <w:sz w:val="24"/>
          <w:szCs w:val="24"/>
        </w:rPr>
        <w:t xml:space="preserve"> directions to Monsanto to continue with its obligations under the sub-license agreements, including consequential orders with respect to payment and receipt of trait value, are upheld.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(4) Monsanto can apply for registration under the PV Act (within three months of this judgment); if it does so in terms of this judgment, the benefit of its previous patent can be granted to it, for the purposes of the said Act, in respect of determination of prior publication provisions and requirements. FAO (OS) (COMM) 86/2017 &amp; 76/2017 Page 60 of 60 117. </w:t>
      </w:r>
      <w:proofErr w:type="spellStart"/>
      <w:r w:rsidRPr="00912C1E">
        <w:rPr>
          <w:rFonts w:ascii="Times New Roman" w:hAnsi="Times New Roman" w:cs="Times New Roman"/>
          <w:sz w:val="24"/>
          <w:szCs w:val="24"/>
        </w:rPr>
        <w:t>Monsanto‟s</w:t>
      </w:r>
      <w:proofErr w:type="spellEnd"/>
      <w:r w:rsidRPr="00912C1E">
        <w:rPr>
          <w:rFonts w:ascii="Times New Roman" w:hAnsi="Times New Roman" w:cs="Times New Roman"/>
          <w:sz w:val="24"/>
          <w:szCs w:val="24"/>
        </w:rPr>
        <w:t xml:space="preserve"> appeal, </w:t>
      </w:r>
      <w:proofErr w:type="gramStart"/>
      <w:r w:rsidRPr="00912C1E">
        <w:rPr>
          <w:rFonts w:ascii="Times New Roman" w:hAnsi="Times New Roman" w:cs="Times New Roman"/>
          <w:sz w:val="24"/>
          <w:szCs w:val="24"/>
        </w:rPr>
        <w:t>FAO(</w:t>
      </w:r>
      <w:proofErr w:type="gramEnd"/>
      <w:r w:rsidRPr="00912C1E">
        <w:rPr>
          <w:rFonts w:ascii="Times New Roman" w:hAnsi="Times New Roman" w:cs="Times New Roman"/>
          <w:sz w:val="24"/>
          <w:szCs w:val="24"/>
        </w:rPr>
        <w:t>OS)(</w:t>
      </w:r>
      <w:proofErr w:type="spellStart"/>
      <w:r w:rsidRPr="00912C1E">
        <w:rPr>
          <w:rFonts w:ascii="Times New Roman" w:hAnsi="Times New Roman" w:cs="Times New Roman"/>
          <w:sz w:val="24"/>
          <w:szCs w:val="24"/>
        </w:rPr>
        <w:t>Comm</w:t>
      </w:r>
      <w:proofErr w:type="spellEnd"/>
      <w:r w:rsidRPr="00912C1E">
        <w:rPr>
          <w:rFonts w:ascii="Times New Roman" w:hAnsi="Times New Roman" w:cs="Times New Roman"/>
          <w:sz w:val="24"/>
          <w:szCs w:val="24"/>
        </w:rPr>
        <w:t xml:space="preserve">) 76/17 is consequently dismissed. </w:t>
      </w:r>
      <w:proofErr w:type="spellStart"/>
      <w:r w:rsidRPr="00912C1E">
        <w:rPr>
          <w:rFonts w:ascii="Times New Roman" w:hAnsi="Times New Roman" w:cs="Times New Roman"/>
          <w:sz w:val="24"/>
          <w:szCs w:val="24"/>
        </w:rPr>
        <w:t>Nuziveedu‟s</w:t>
      </w:r>
      <w:proofErr w:type="spellEnd"/>
      <w:r w:rsidRPr="00912C1E">
        <w:rPr>
          <w:rFonts w:ascii="Times New Roman" w:hAnsi="Times New Roman" w:cs="Times New Roman"/>
          <w:sz w:val="24"/>
          <w:szCs w:val="24"/>
        </w:rPr>
        <w:t xml:space="preserve"> appeal, [</w:t>
      </w:r>
      <w:proofErr w:type="gramStart"/>
      <w:r w:rsidRPr="00912C1E">
        <w:rPr>
          <w:rFonts w:ascii="Times New Roman" w:hAnsi="Times New Roman" w:cs="Times New Roman"/>
          <w:sz w:val="24"/>
          <w:szCs w:val="24"/>
        </w:rPr>
        <w:t>FAO(</w:t>
      </w:r>
      <w:proofErr w:type="gramEnd"/>
      <w:r w:rsidRPr="00912C1E">
        <w:rPr>
          <w:rFonts w:ascii="Times New Roman" w:hAnsi="Times New Roman" w:cs="Times New Roman"/>
          <w:sz w:val="24"/>
          <w:szCs w:val="24"/>
        </w:rPr>
        <w:t>OS)(</w:t>
      </w:r>
      <w:proofErr w:type="spellStart"/>
      <w:r w:rsidRPr="00912C1E">
        <w:rPr>
          <w:rFonts w:ascii="Times New Roman" w:hAnsi="Times New Roman" w:cs="Times New Roman"/>
          <w:sz w:val="24"/>
          <w:szCs w:val="24"/>
        </w:rPr>
        <w:t>Comm</w:t>
      </w:r>
      <w:proofErr w:type="spellEnd"/>
      <w:r w:rsidRPr="00912C1E">
        <w:rPr>
          <w:rFonts w:ascii="Times New Roman" w:hAnsi="Times New Roman" w:cs="Times New Roman"/>
          <w:sz w:val="24"/>
          <w:szCs w:val="24"/>
        </w:rPr>
        <w:t>) 86/2017] is partly allowed; its counter claim is allowed to the above limited extent. There shall be no order on costs.</w:t>
      </w:r>
    </w:p>
    <w:p w:rsid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 RAVINDRA BHAT (JUDGE) YOGESH KHANNA (JUDGE) APRIL 11, 2018</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APPEAL WAS FILED BEFORE SUPREME COURT OF INDIA. THE COMMENTS ARE TAKEN FROM THE FOLLOWING SOURCE</w:t>
      </w:r>
    </w:p>
    <w:p w:rsidR="00912C1E" w:rsidRPr="00912C1E" w:rsidRDefault="00912C1E" w:rsidP="00912C1E">
      <w:pPr>
        <w:spacing w:after="0"/>
        <w:jc w:val="both"/>
        <w:rPr>
          <w:rFonts w:ascii="Times New Roman" w:hAnsi="Times New Roman" w:cs="Times New Roman"/>
          <w:sz w:val="24"/>
          <w:szCs w:val="24"/>
        </w:rPr>
      </w:pPr>
      <w:hyperlink r:id="rId67" w:history="1">
        <w:r w:rsidRPr="00912C1E">
          <w:rPr>
            <w:rStyle w:val="Hyperlink"/>
            <w:rFonts w:ascii="Times New Roman" w:hAnsi="Times New Roman" w:cs="Times New Roman"/>
            <w:sz w:val="24"/>
            <w:szCs w:val="24"/>
          </w:rPr>
          <w:t>https://www.downtoearth.org.in/blog/agriculture/was-there-a-victory-for-monsanto-in-india-s-supreme-court-on-a-patent-matter--62800</w:t>
        </w:r>
      </w:hyperlink>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Media headlines, especially from business media houses and American media, continue to scream that Monsanto has had a “patent victory” in the Supreme Court of India which will in turn boost biotech investment in India. The news stories claim that Monsanto won a patent-related legal battle and that the Court ruled that Monsanto can claim patents on its GM cotton seeds. This is even after five full days after the judgment has been uploaded onto the Court’s website.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Supreme Court overturns Delhi HC judgment of April 2018, but does not pronounce its own stand on Monsanto’s patent: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Yes, it is true that the Supreme Court on 08/01/2019 overturned an earlier ruling in the Delhi High Court by a Division Bench on 11.04.2018 wherein Justice S </w:t>
      </w:r>
      <w:proofErr w:type="spellStart"/>
      <w:r w:rsidRPr="00912C1E">
        <w:rPr>
          <w:rFonts w:ascii="Times New Roman" w:hAnsi="Times New Roman" w:cs="Times New Roman"/>
          <w:sz w:val="24"/>
          <w:szCs w:val="24"/>
        </w:rPr>
        <w:t>Ravindra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Bhat</w:t>
      </w:r>
      <w:proofErr w:type="spellEnd"/>
      <w:r w:rsidRPr="00912C1E">
        <w:rPr>
          <w:rFonts w:ascii="Times New Roman" w:hAnsi="Times New Roman" w:cs="Times New Roman"/>
          <w:sz w:val="24"/>
          <w:szCs w:val="24"/>
        </w:rPr>
        <w:t xml:space="preserve"> and Justice </w:t>
      </w:r>
      <w:proofErr w:type="spellStart"/>
      <w:r w:rsidRPr="00912C1E">
        <w:rPr>
          <w:rFonts w:ascii="Times New Roman" w:hAnsi="Times New Roman" w:cs="Times New Roman"/>
          <w:sz w:val="24"/>
          <w:szCs w:val="24"/>
        </w:rPr>
        <w:lastRenderedPageBreak/>
        <w:t>Yogesh</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Khanna</w:t>
      </w:r>
      <w:proofErr w:type="spellEnd"/>
      <w:r w:rsidRPr="00912C1E">
        <w:rPr>
          <w:rFonts w:ascii="Times New Roman" w:hAnsi="Times New Roman" w:cs="Times New Roman"/>
          <w:sz w:val="24"/>
          <w:szCs w:val="24"/>
        </w:rPr>
        <w:t xml:space="preserve"> of the Delhi HC recorded one of their conclusions thus – “the subject patent falls within the exclusion spelt out by Section 3 (j) of the Patents Act; the subject patent and the claims covered by it are consequently held to be </w:t>
      </w:r>
      <w:proofErr w:type="spellStart"/>
      <w:r w:rsidRPr="00912C1E">
        <w:rPr>
          <w:rFonts w:ascii="Times New Roman" w:hAnsi="Times New Roman" w:cs="Times New Roman"/>
          <w:sz w:val="24"/>
          <w:szCs w:val="24"/>
        </w:rPr>
        <w:t>unpatentable</w:t>
      </w:r>
      <w:proofErr w:type="spellEnd"/>
      <w:r w:rsidRPr="00912C1E">
        <w:rPr>
          <w:rFonts w:ascii="Times New Roman" w:hAnsi="Times New Roman" w:cs="Times New Roman"/>
          <w:sz w:val="24"/>
          <w:szCs w:val="24"/>
        </w:rPr>
        <w:t>”, speaking about Monsanto’s Patent No. 214436, pertaining to the (</w:t>
      </w:r>
      <w:proofErr w:type="spellStart"/>
      <w:r w:rsidRPr="00912C1E">
        <w:rPr>
          <w:rFonts w:ascii="Times New Roman" w:hAnsi="Times New Roman" w:cs="Times New Roman"/>
          <w:sz w:val="24"/>
          <w:szCs w:val="24"/>
        </w:rPr>
        <w:t>Bt</w:t>
      </w:r>
      <w:proofErr w:type="spellEnd"/>
      <w:r w:rsidRPr="00912C1E">
        <w:rPr>
          <w:rFonts w:ascii="Times New Roman" w:hAnsi="Times New Roman" w:cs="Times New Roman"/>
          <w:sz w:val="24"/>
          <w:szCs w:val="24"/>
        </w:rPr>
        <w:t xml:space="preserve"> Cry2Ab) genetic sequence which is the basis of its </w:t>
      </w:r>
      <w:proofErr w:type="spellStart"/>
      <w:r w:rsidRPr="00912C1E">
        <w:rPr>
          <w:rFonts w:ascii="Times New Roman" w:hAnsi="Times New Roman" w:cs="Times New Roman"/>
          <w:sz w:val="24"/>
          <w:szCs w:val="24"/>
        </w:rPr>
        <w:t>Bollgard</w:t>
      </w:r>
      <w:proofErr w:type="spellEnd"/>
      <w:r w:rsidRPr="00912C1E">
        <w:rPr>
          <w:rFonts w:ascii="Times New Roman" w:hAnsi="Times New Roman" w:cs="Times New Roman"/>
          <w:sz w:val="24"/>
          <w:szCs w:val="24"/>
        </w:rPr>
        <w:t xml:space="preserve"> II </w:t>
      </w:r>
      <w:proofErr w:type="spellStart"/>
      <w:r w:rsidRPr="00912C1E">
        <w:rPr>
          <w:rFonts w:ascii="Times New Roman" w:hAnsi="Times New Roman" w:cs="Times New Roman"/>
          <w:sz w:val="24"/>
          <w:szCs w:val="24"/>
        </w:rPr>
        <w:t>Bt</w:t>
      </w:r>
      <w:proofErr w:type="spellEnd"/>
      <w:r w:rsidRPr="00912C1E">
        <w:rPr>
          <w:rFonts w:ascii="Times New Roman" w:hAnsi="Times New Roman" w:cs="Times New Roman"/>
          <w:sz w:val="24"/>
          <w:szCs w:val="24"/>
        </w:rPr>
        <w:t xml:space="preserve"> cotton business. The Division Bench incidentally upheld the Single Judge’s directions to Monsanto to continue with its obligations which caused Monsanto to appeal against the March 2017 single judge’s orders in the first instance.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To the extent that the Supreme Court overturned the Division Bench </w:t>
      </w:r>
      <w:proofErr w:type="spellStart"/>
      <w:r w:rsidRPr="00912C1E">
        <w:rPr>
          <w:rFonts w:ascii="Times New Roman" w:hAnsi="Times New Roman" w:cs="Times New Roman"/>
          <w:sz w:val="24"/>
          <w:szCs w:val="24"/>
        </w:rPr>
        <w:t>judgement</w:t>
      </w:r>
      <w:proofErr w:type="spellEnd"/>
      <w:r w:rsidRPr="00912C1E">
        <w:rPr>
          <w:rFonts w:ascii="Times New Roman" w:hAnsi="Times New Roman" w:cs="Times New Roman"/>
          <w:sz w:val="24"/>
          <w:szCs w:val="24"/>
        </w:rPr>
        <w:t xml:space="preserve"> which pronounced the patent and its claims </w:t>
      </w:r>
      <w:proofErr w:type="spellStart"/>
      <w:r w:rsidRPr="00912C1E">
        <w:rPr>
          <w:rFonts w:ascii="Times New Roman" w:hAnsi="Times New Roman" w:cs="Times New Roman"/>
          <w:sz w:val="24"/>
          <w:szCs w:val="24"/>
        </w:rPr>
        <w:t>unpatentable</w:t>
      </w:r>
      <w:proofErr w:type="spellEnd"/>
      <w:r w:rsidRPr="00912C1E">
        <w:rPr>
          <w:rFonts w:ascii="Times New Roman" w:hAnsi="Times New Roman" w:cs="Times New Roman"/>
          <w:sz w:val="24"/>
          <w:szCs w:val="24"/>
        </w:rPr>
        <w:t xml:space="preserve">, the patent of Monsanto can be assumed to be restored. However, it is not correct to say that Supreme Court’s Justices </w:t>
      </w:r>
      <w:proofErr w:type="spellStart"/>
      <w:r w:rsidRPr="00912C1E">
        <w:rPr>
          <w:rFonts w:ascii="Times New Roman" w:hAnsi="Times New Roman" w:cs="Times New Roman"/>
          <w:sz w:val="24"/>
          <w:szCs w:val="24"/>
        </w:rPr>
        <w:t>Rohintan</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Fali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Nariman</w:t>
      </w:r>
      <w:proofErr w:type="spellEnd"/>
      <w:r w:rsidRPr="00912C1E">
        <w:rPr>
          <w:rFonts w:ascii="Times New Roman" w:hAnsi="Times New Roman" w:cs="Times New Roman"/>
          <w:sz w:val="24"/>
          <w:szCs w:val="24"/>
        </w:rPr>
        <w:t xml:space="preserve"> and </w:t>
      </w:r>
      <w:proofErr w:type="spellStart"/>
      <w:r w:rsidRPr="00912C1E">
        <w:rPr>
          <w:rFonts w:ascii="Times New Roman" w:hAnsi="Times New Roman" w:cs="Times New Roman"/>
          <w:sz w:val="24"/>
          <w:szCs w:val="24"/>
        </w:rPr>
        <w:t>Navin</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Sinha</w:t>
      </w:r>
      <w:proofErr w:type="spellEnd"/>
      <w:r w:rsidRPr="00912C1E">
        <w:rPr>
          <w:rFonts w:ascii="Times New Roman" w:hAnsi="Times New Roman" w:cs="Times New Roman"/>
          <w:sz w:val="24"/>
          <w:szCs w:val="24"/>
        </w:rPr>
        <w:t xml:space="preserve"> pronounced that Monsanto can claim patents on its GM cotton seeds.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Supreme Court points to lacunae in Division Bench’s pronouncement on patentability of a genetic sequence, and asks parties to get the original suit heard by the single judge bench of Delhi HC: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SC judgment said the following in fact about the Division Bench judgment: “Summary adjudication of a technically complex suit requiring expert evidence also, at the stage of injunction in the manner done, was certainly neither desirable nor permissible in the law. The suit involved complicated mixed questions of law and facts with regard to patentability and exclusion of patent which could be examined in the suit on basis of evidence…. There is no gain saying that the issues raised were complicated requiring technological and expert evidence with regard to issues of chemical process, biochemical, biotechnical and micro biological processes and more importantly, whether the nucleic acid sequence trait once inserted could be removed from that variety or not, and whether the patented DNA sequence was a plant or a part of a plant etc., are again all matters which were required to be considered at the final hearing of the suit…. The Division Bench ought to have confined itself to the examination of the validity of the order of injunction granted by the Single Judge….The order of the Division Bench is set aside. The order of the Single Judge dated 28.03.2017 is restored and the suit is remanded to the learned Single Judge for disposal in accordance with law”.  Therefore, the Supreme Court merely ordered that the dispute(s) be taken back to the Single Judge bench of the Delhi High Court, while showcasing what it pronounced as procedural/legal lapses by the Division Bench. </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RESPONSES FROM THE PUBLIC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By no stretch of imagination can it be claimed that the Supreme Court has pronounced its stand on the validity of Monsanto’s patent and even upheld it.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Long standing dispute between Monsanto and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dispute between Monsanto and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goes back a long way. To around 2003 in fact, when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had to face India’s de-facto patent regime in the form of its biosafety regulatory regime under the Ministry of Environment &amp; Forests, which compelled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to get into sub-licensing agreements with Monsanto (Monsanto </w:t>
      </w:r>
      <w:proofErr w:type="spellStart"/>
      <w:r w:rsidRPr="00912C1E">
        <w:rPr>
          <w:rFonts w:ascii="Times New Roman" w:hAnsi="Times New Roman" w:cs="Times New Roman"/>
          <w:sz w:val="24"/>
          <w:szCs w:val="24"/>
        </w:rPr>
        <w:t>Mahyco</w:t>
      </w:r>
      <w:proofErr w:type="spellEnd"/>
      <w:r w:rsidRPr="00912C1E">
        <w:rPr>
          <w:rFonts w:ascii="Times New Roman" w:hAnsi="Times New Roman" w:cs="Times New Roman"/>
          <w:sz w:val="24"/>
          <w:szCs w:val="24"/>
        </w:rPr>
        <w:t xml:space="preserve"> Biotech), to be able to use the </w:t>
      </w:r>
      <w:proofErr w:type="spellStart"/>
      <w:proofErr w:type="gramStart"/>
      <w:r w:rsidRPr="00912C1E">
        <w:rPr>
          <w:rFonts w:ascii="Times New Roman" w:hAnsi="Times New Roman" w:cs="Times New Roman"/>
          <w:sz w:val="24"/>
          <w:szCs w:val="24"/>
        </w:rPr>
        <w:t>Bt</w:t>
      </w:r>
      <w:proofErr w:type="spellEnd"/>
      <w:proofErr w:type="gramEnd"/>
      <w:r w:rsidRPr="00912C1E">
        <w:rPr>
          <w:rFonts w:ascii="Times New Roman" w:hAnsi="Times New Roman" w:cs="Times New Roman"/>
          <w:sz w:val="24"/>
          <w:szCs w:val="24"/>
        </w:rPr>
        <w:t xml:space="preserve"> technology in its cotton hybrids. That was for </w:t>
      </w:r>
      <w:proofErr w:type="spellStart"/>
      <w:r w:rsidRPr="00912C1E">
        <w:rPr>
          <w:rFonts w:ascii="Times New Roman" w:hAnsi="Times New Roman" w:cs="Times New Roman"/>
          <w:sz w:val="24"/>
          <w:szCs w:val="24"/>
        </w:rPr>
        <w:t>Bollgard</w:t>
      </w:r>
      <w:proofErr w:type="spellEnd"/>
      <w:r w:rsidRPr="00912C1E">
        <w:rPr>
          <w:rFonts w:ascii="Times New Roman" w:hAnsi="Times New Roman" w:cs="Times New Roman"/>
          <w:sz w:val="24"/>
          <w:szCs w:val="24"/>
        </w:rPr>
        <w:t xml:space="preserve"> I technology or Cry1Ac gene which did not even have a patent in India. Trouble has been brewing since then.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The original disputes that brought the parties to the Delhi High Court in 2016 pertained to the fact that Monsanto contends that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is still to pay its dues with regard to trait/license fees, while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contends that Monsanto has illegally terminated their sub-license agreement on 14.11.2015 in an unjustified manner and that it is not bound to pay anything more than the trait value fixed by states and </w:t>
      </w:r>
      <w:proofErr w:type="spellStart"/>
      <w:r w:rsidRPr="00912C1E">
        <w:rPr>
          <w:rFonts w:ascii="Times New Roman" w:hAnsi="Times New Roman" w:cs="Times New Roman"/>
          <w:sz w:val="24"/>
          <w:szCs w:val="24"/>
        </w:rPr>
        <w:t>centre</w:t>
      </w:r>
      <w:proofErr w:type="spellEnd"/>
      <w:r w:rsidRPr="00912C1E">
        <w:rPr>
          <w:rFonts w:ascii="Times New Roman" w:hAnsi="Times New Roman" w:cs="Times New Roman"/>
          <w:sz w:val="24"/>
          <w:szCs w:val="24"/>
        </w:rPr>
        <w:t xml:space="preserve">. There was also the matter of whether trademarks of </w:t>
      </w:r>
      <w:proofErr w:type="spellStart"/>
      <w:r w:rsidRPr="00912C1E">
        <w:rPr>
          <w:rFonts w:ascii="Times New Roman" w:hAnsi="Times New Roman" w:cs="Times New Roman"/>
          <w:sz w:val="24"/>
          <w:szCs w:val="24"/>
        </w:rPr>
        <w:t>Bollgard</w:t>
      </w:r>
      <w:proofErr w:type="spellEnd"/>
      <w:r w:rsidRPr="00912C1E">
        <w:rPr>
          <w:rFonts w:ascii="Times New Roman" w:hAnsi="Times New Roman" w:cs="Times New Roman"/>
          <w:sz w:val="24"/>
          <w:szCs w:val="24"/>
        </w:rPr>
        <w:t xml:space="preserve"> can be used or not, or even the use of abbreviations like “BGII” by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which denies any infringement.</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Single Judge Bench did not delve into the patentability matters: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On 28.03.2017, a Single Judge Bench of Delhi High Court, while adjudicating on an application for injunction, did not actually decide on the patentability question and kept it for examination until after the pleadings were complete. Judge R.K. </w:t>
      </w:r>
      <w:proofErr w:type="spellStart"/>
      <w:r w:rsidRPr="00912C1E">
        <w:rPr>
          <w:rFonts w:ascii="Times New Roman" w:hAnsi="Times New Roman" w:cs="Times New Roman"/>
          <w:sz w:val="24"/>
          <w:szCs w:val="24"/>
        </w:rPr>
        <w:t>Gauba</w:t>
      </w:r>
      <w:proofErr w:type="spellEnd"/>
      <w:r w:rsidRPr="00912C1E">
        <w:rPr>
          <w:rFonts w:ascii="Times New Roman" w:hAnsi="Times New Roman" w:cs="Times New Roman"/>
          <w:sz w:val="24"/>
          <w:szCs w:val="24"/>
        </w:rPr>
        <w:t xml:space="preserve"> only ordered that during the pendency of the suit, the parties shall remain bound by their respective obligations under the sub-license agreement that the parties got into. Monsanto et al preferred an appeal against the injunctive relief provided by the single judge bench.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Supreme Court now pointed out that even though the single judge bench did not deal with, or consider the counter claim of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Seeds (defendants) with regard to the patentability, the Division Bench’s </w:t>
      </w:r>
      <w:proofErr w:type="spellStart"/>
      <w:r w:rsidRPr="00912C1E">
        <w:rPr>
          <w:rFonts w:ascii="Times New Roman" w:hAnsi="Times New Roman" w:cs="Times New Roman"/>
          <w:sz w:val="24"/>
          <w:szCs w:val="24"/>
        </w:rPr>
        <w:t>judgement</w:t>
      </w:r>
      <w:proofErr w:type="spellEnd"/>
      <w:r w:rsidRPr="00912C1E">
        <w:rPr>
          <w:rFonts w:ascii="Times New Roman" w:hAnsi="Times New Roman" w:cs="Times New Roman"/>
          <w:sz w:val="24"/>
          <w:szCs w:val="24"/>
        </w:rPr>
        <w:t xml:space="preserve"> that the Patent of Monsanto was subject to patent exclusion under Section 3(j) of Indian Patents Act and thereby invalidating the patent, in effect made the defendants counter claim succeed.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Is this merely a mercantile matter as being debated in India’s Courts?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issue of patentability of nucleic acid sequences came up in the context of whether there is </w:t>
      </w:r>
      <w:proofErr w:type="gramStart"/>
      <w:r w:rsidRPr="00912C1E">
        <w:rPr>
          <w:rFonts w:ascii="Times New Roman" w:hAnsi="Times New Roman" w:cs="Times New Roman"/>
          <w:sz w:val="24"/>
          <w:szCs w:val="24"/>
        </w:rPr>
        <w:t>an</w:t>
      </w:r>
      <w:proofErr w:type="gramEnd"/>
      <w:r w:rsidRPr="00912C1E">
        <w:rPr>
          <w:rFonts w:ascii="Times New Roman" w:hAnsi="Times New Roman" w:cs="Times New Roman"/>
          <w:sz w:val="24"/>
          <w:szCs w:val="24"/>
        </w:rPr>
        <w:t xml:space="preserve"> patent infringement by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entire dispute and legal debate between the two (groups of) parties make it look as though it is a matter of mercantile laws whereas the core of the issue affects farmers and their livelihoods. Going by an affidavit filed by the Union of India in a related case in the Delhi High Court, wherein they state that farm suicides were caused by </w:t>
      </w:r>
      <w:proofErr w:type="spellStart"/>
      <w:proofErr w:type="gramStart"/>
      <w:r w:rsidRPr="00912C1E">
        <w:rPr>
          <w:rFonts w:ascii="Times New Roman" w:hAnsi="Times New Roman" w:cs="Times New Roman"/>
          <w:sz w:val="24"/>
          <w:szCs w:val="24"/>
        </w:rPr>
        <w:t>Bt</w:t>
      </w:r>
      <w:proofErr w:type="spellEnd"/>
      <w:proofErr w:type="gramEnd"/>
      <w:r w:rsidRPr="00912C1E">
        <w:rPr>
          <w:rFonts w:ascii="Times New Roman" w:hAnsi="Times New Roman" w:cs="Times New Roman"/>
          <w:sz w:val="24"/>
          <w:szCs w:val="24"/>
        </w:rPr>
        <w:t xml:space="preserve"> cotton, high seed prices and losses incurred by farmers, it is a matter of life and death for farmers! At the end of the day, the disputed royalties, license and trait fees etc., are all being shelled out by farmers of this country and not coming from the pockets of Monsanto or </w:t>
      </w:r>
      <w:proofErr w:type="spellStart"/>
      <w:r w:rsidRPr="00912C1E">
        <w:rPr>
          <w:rFonts w:ascii="Times New Roman" w:hAnsi="Times New Roman" w:cs="Times New Roman"/>
          <w:sz w:val="24"/>
          <w:szCs w:val="24"/>
        </w:rPr>
        <w:t>Nuziveedu</w:t>
      </w:r>
      <w:proofErr w:type="spellEnd"/>
      <w:r w:rsidRPr="00912C1E">
        <w:rPr>
          <w:rFonts w:ascii="Times New Roman" w:hAnsi="Times New Roman" w:cs="Times New Roman"/>
          <w:sz w:val="24"/>
          <w:szCs w:val="24"/>
        </w:rPr>
        <w:t xml:space="preserve">. In the USA and Canada, it is well known that Monsanto had </w:t>
      </w:r>
      <w:proofErr w:type="gramStart"/>
      <w:r w:rsidRPr="00912C1E">
        <w:rPr>
          <w:rFonts w:ascii="Times New Roman" w:hAnsi="Times New Roman" w:cs="Times New Roman"/>
          <w:sz w:val="24"/>
          <w:szCs w:val="24"/>
        </w:rPr>
        <w:t>sued,</w:t>
      </w:r>
      <w:proofErr w:type="gramEnd"/>
      <w:r w:rsidRPr="00912C1E">
        <w:rPr>
          <w:rFonts w:ascii="Times New Roman" w:hAnsi="Times New Roman" w:cs="Times New Roman"/>
          <w:sz w:val="24"/>
          <w:szCs w:val="24"/>
        </w:rPr>
        <w:t xml:space="preserve"> fined and jailed farmers in the name of patent infringement. The recent Supreme Court </w:t>
      </w:r>
      <w:proofErr w:type="spellStart"/>
      <w:r w:rsidRPr="00912C1E">
        <w:rPr>
          <w:rFonts w:ascii="Times New Roman" w:hAnsi="Times New Roman" w:cs="Times New Roman"/>
          <w:sz w:val="24"/>
          <w:szCs w:val="24"/>
        </w:rPr>
        <w:t>judgement</w:t>
      </w:r>
      <w:proofErr w:type="spellEnd"/>
      <w:r w:rsidRPr="00912C1E">
        <w:rPr>
          <w:rFonts w:ascii="Times New Roman" w:hAnsi="Times New Roman" w:cs="Times New Roman"/>
          <w:sz w:val="24"/>
          <w:szCs w:val="24"/>
        </w:rPr>
        <w:t xml:space="preserve"> records Monsanto’s counsel submitting in the Court that the plaintiffs (Monsanto et al) have no intention to sue any Indian farmer for violation of patent. That Monsanto cannot and will not is obvious, without a riot breaking out on the streets of India.</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But that is not the only black and white way to look at patents on ostensible “nucleic acid sequences which are chemical compounds” as though they have no bearing on seeds, seed monopolies and exorbitantly high prices of such seeds, which have a direct bearing on farmers’ net returns and livelihoods. Elsewhere, it is well documented that farmers have limited choices with regard to seeds and planting material due to patent enforcement and resulting monopolies. In the end, seed companies benefit enormously at the expense of farmers – it is reported that Monsanto would have </w:t>
      </w:r>
      <w:proofErr w:type="spellStart"/>
      <w:r w:rsidRPr="00912C1E">
        <w:rPr>
          <w:rFonts w:ascii="Times New Roman" w:hAnsi="Times New Roman" w:cs="Times New Roman"/>
          <w:sz w:val="24"/>
          <w:szCs w:val="24"/>
        </w:rPr>
        <w:t>realised</w:t>
      </w:r>
      <w:proofErr w:type="spellEnd"/>
      <w:r w:rsidRPr="00912C1E">
        <w:rPr>
          <w:rFonts w:ascii="Times New Roman" w:hAnsi="Times New Roman" w:cs="Times New Roman"/>
          <w:sz w:val="24"/>
          <w:szCs w:val="24"/>
        </w:rPr>
        <w:t xml:space="preserve"> trait value of around US$ 240 </w:t>
      </w:r>
      <w:proofErr w:type="spellStart"/>
      <w:r w:rsidRPr="00912C1E">
        <w:rPr>
          <w:rFonts w:ascii="Times New Roman" w:hAnsi="Times New Roman" w:cs="Times New Roman"/>
          <w:sz w:val="24"/>
          <w:szCs w:val="24"/>
        </w:rPr>
        <w:t>millions</w:t>
      </w:r>
      <w:proofErr w:type="spell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between 2010-2015</w:t>
      </w:r>
      <w:proofErr w:type="gramEnd"/>
      <w:r w:rsidRPr="00912C1E">
        <w:rPr>
          <w:rFonts w:ascii="Times New Roman" w:hAnsi="Times New Roman" w:cs="Times New Roman"/>
          <w:sz w:val="24"/>
          <w:szCs w:val="24"/>
        </w:rPr>
        <w:t xml:space="preserve"> and it is obvious that this came from poor Indian farmers’ </w:t>
      </w:r>
      <w:r w:rsidRPr="00912C1E">
        <w:rPr>
          <w:rFonts w:ascii="Times New Roman" w:hAnsi="Times New Roman" w:cs="Times New Roman"/>
          <w:sz w:val="24"/>
          <w:szCs w:val="24"/>
        </w:rPr>
        <w:lastRenderedPageBreak/>
        <w:t>pockets. It would therefore be useful for Indian courts to keep this in mind and not look at it as a mere mercantile matter.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Patent No. 214436 vis-à-vis the Indian Patents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look at the entire patent filing episode by Monsanto shows very clearly that the claims were manipulated opportunistically between process and product claims, so that it somehow fits into the Indian patent laws prevalent at a particular point of time.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While looking at Monsanto’s claim that its Patent No. 214436 is essentially about a “nucleic acid sequence” which is a chemical created in a laboratory, the Court has to remember that if that is the case, this chemical compound would be regulated within the pesticides regulatory regime in India, not the GMOs regime. It is after all this genetic sequence which makes ordinary cotton varieties into </w:t>
      </w:r>
      <w:proofErr w:type="spellStart"/>
      <w:proofErr w:type="gramStart"/>
      <w:r w:rsidRPr="00912C1E">
        <w:rPr>
          <w:rFonts w:ascii="Times New Roman" w:hAnsi="Times New Roman" w:cs="Times New Roman"/>
          <w:sz w:val="24"/>
          <w:szCs w:val="24"/>
        </w:rPr>
        <w:t>Bt</w:t>
      </w:r>
      <w:proofErr w:type="spellEnd"/>
      <w:proofErr w:type="gramEnd"/>
      <w:r w:rsidRPr="00912C1E">
        <w:rPr>
          <w:rFonts w:ascii="Times New Roman" w:hAnsi="Times New Roman" w:cs="Times New Roman"/>
          <w:sz w:val="24"/>
          <w:szCs w:val="24"/>
        </w:rPr>
        <w:t xml:space="preserve"> cotton, which consequently get regulated as living organisms, under the EPA 1986 and not as a pesticide.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nucleic acid sequence is indeed heritable when embedded into a plant cell, and heritability is a trait connected with a living organism. However, it is not capable of reproducing itself and therefore, is not a micro-organism which is specified as a patentable matter in the Indian law.</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Indian Patents Act had a sub-section (2) added under Section 5 in 2002, which gave an explanation for “chemical processes” allowing for patenting of chemical processes which was significantly deleted when the Parliament amended the Act in 2005. The legislative intent of the Indian Parliament is clear – it denied protection under Patents Act for such genes and genetic materials, and brought such seeds under the Protection of Plant Varieties and Farmers Rights Act of 2001, and is reflected also in the National Seeds Policy of 2002. This is consistent with India’s international stand too, which however the Indian Patent Office did not always uphold since it began granting several patents on genetic materials.</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Claims with regard to the disputed patent show that it is both about a DNA sequence as well as its linking to other sequences (process) and placement in a plant cell (process).</w:t>
      </w:r>
      <w:proofErr w:type="gramEnd"/>
      <w:r w:rsidRPr="00912C1E">
        <w:rPr>
          <w:rFonts w:ascii="Times New Roman" w:hAnsi="Times New Roman" w:cs="Times New Roman"/>
          <w:sz w:val="24"/>
          <w:szCs w:val="24"/>
        </w:rPr>
        <w:t xml:space="preserve"> Claim 25 in this patent is not merely describing a product but is about a process for making a product of certain functions. The said nucleic acid sequence can be functional only after becoming a part of the plant cell.</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Amongst the many parties that intervened and are on the defendants’ side in the case, the argument is that the patented product is an inherent, intrinsic and integral part of a plant as it exists at the sub-cellular level (and a part of a plant is excluded from patentability), and that the claim is not about a chemical sequence in a vial but about having a plant produce a high level of expression of an endotoxin protein etc.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Can there be a patent without fulfilling the “industrial application” criterion?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For any invention to be patented, an essential criterion to be fulfilled is that of industrial application. Monsanto’s NAS (nucleic acid sequence), described by it as a chemical product, is not capable of industrial application until it is first integrated into a plant cell where it can express itself through essentially biological processes of transcription, translation and replication; until it </w:t>
      </w:r>
      <w:proofErr w:type="spellStart"/>
      <w:r w:rsidRPr="00912C1E">
        <w:rPr>
          <w:rFonts w:ascii="Times New Roman" w:hAnsi="Times New Roman" w:cs="Times New Roman"/>
          <w:sz w:val="24"/>
          <w:szCs w:val="24"/>
        </w:rPr>
        <w:t>stabilises</w:t>
      </w:r>
      <w:proofErr w:type="spellEnd"/>
      <w:r w:rsidRPr="00912C1E">
        <w:rPr>
          <w:rFonts w:ascii="Times New Roman" w:hAnsi="Times New Roman" w:cs="Times New Roman"/>
          <w:sz w:val="24"/>
          <w:szCs w:val="24"/>
        </w:rPr>
        <w:t xml:space="preserve"> into the plant through repeated back-crossing processes which are also essentially biological processes and until the NAS is heritable to the next generation of seeds which are sold as F1 hybrids, which happens through essentially biological processes. There is no industrial application of a mere NAS by itself without essentially biological processes, which then make the NAS </w:t>
      </w:r>
      <w:proofErr w:type="spellStart"/>
      <w:r w:rsidRPr="00912C1E">
        <w:rPr>
          <w:rFonts w:ascii="Times New Roman" w:hAnsi="Times New Roman" w:cs="Times New Roman"/>
          <w:sz w:val="24"/>
          <w:szCs w:val="24"/>
        </w:rPr>
        <w:t>unpatentable</w:t>
      </w:r>
      <w:proofErr w:type="spellEnd"/>
      <w:r w:rsidRPr="00912C1E">
        <w:rPr>
          <w:rFonts w:ascii="Times New Roman" w:hAnsi="Times New Roman" w:cs="Times New Roman"/>
          <w:sz w:val="24"/>
          <w:szCs w:val="24"/>
        </w:rPr>
        <w:t xml:space="preserve"> under Indian law.</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Precedence of citing public interest and revocation of patents exists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It is clear that there is no reasons for grant of patents which have even an indirect bearing on plants, because the Indian law has explicitly kept them out of patentability. Giving patents on genes and nucleic acid sequences will have such an indirect bearing and should therefore not be allowed.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Incidentally, Sec. 66, which allows for revocation of a patent in public interest, has indeed been used in the past in the case of revocation of Indian Patent No. 168950 granted initially to </w:t>
      </w:r>
      <w:proofErr w:type="spellStart"/>
      <w:r w:rsidRPr="00912C1E">
        <w:rPr>
          <w:rFonts w:ascii="Times New Roman" w:hAnsi="Times New Roman" w:cs="Times New Roman"/>
          <w:sz w:val="24"/>
          <w:szCs w:val="24"/>
        </w:rPr>
        <w:t>Agracetus</w:t>
      </w:r>
      <w:proofErr w:type="spellEnd"/>
      <w:r w:rsidRPr="00912C1E">
        <w:rPr>
          <w:rFonts w:ascii="Times New Roman" w:hAnsi="Times New Roman" w:cs="Times New Roman"/>
          <w:sz w:val="24"/>
          <w:szCs w:val="24"/>
        </w:rPr>
        <w:t xml:space="preserve"> Inc. for a “method of producing transformed cotton cells by tissue culture”. The then ICAR DG argued that the patent was incontrovertibly detrimental to our farmers and our people at large, and the Law Ministry concurred. One of the grounds was on safety of such genetically engineered cotton. The revocation was not on technical grounds of process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product or </w:t>
      </w:r>
      <w:proofErr w:type="spellStart"/>
      <w:r w:rsidRPr="00912C1E">
        <w:rPr>
          <w:rFonts w:ascii="Times New Roman" w:hAnsi="Times New Roman" w:cs="Times New Roman"/>
          <w:sz w:val="24"/>
          <w:szCs w:val="24"/>
        </w:rPr>
        <w:t>non patentable</w:t>
      </w:r>
      <w:proofErr w:type="spellEnd"/>
      <w:r w:rsidRPr="00912C1E">
        <w:rPr>
          <w:rFonts w:ascii="Times New Roman" w:hAnsi="Times New Roman" w:cs="Times New Roman"/>
          <w:sz w:val="24"/>
          <w:szCs w:val="24"/>
        </w:rPr>
        <w:t xml:space="preserve"> subject matter etc., but on the simple fact that certain patents are generally prejudicial to the public. The same approach should be applied to Monsanto’s disputed patent as well as all other such patents in India, and such patent grants be revoked.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Inventions that are prejudicial to public interest are not patentable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This approach is reinforced by Section 3(b) which also specifies ‘inventions not patentable’ – Sec. 3(b) states, “an invention the primary or intended use or commercial exploitation of which could be contrary to public order or morality or which causes serious prejudice to human, animal or plant life or health or to the environment”. Given the Government of India’s own admission in a court of law on the lack of efficacy of Monsanto’s proprietary technology (which is the patent subject matter), that farmers were being forced to commit suicides, and given that </w:t>
      </w:r>
      <w:proofErr w:type="spellStart"/>
      <w:r w:rsidRPr="00912C1E">
        <w:rPr>
          <w:rFonts w:ascii="Times New Roman" w:hAnsi="Times New Roman" w:cs="Times New Roman"/>
          <w:sz w:val="24"/>
          <w:szCs w:val="24"/>
        </w:rPr>
        <w:t>Bt</w:t>
      </w:r>
      <w:proofErr w:type="spellEnd"/>
      <w:r w:rsidRPr="00912C1E">
        <w:rPr>
          <w:rFonts w:ascii="Times New Roman" w:hAnsi="Times New Roman" w:cs="Times New Roman"/>
          <w:sz w:val="24"/>
          <w:szCs w:val="24"/>
        </w:rPr>
        <w:t xml:space="preserve"> cotton farmers (90-95% of </w:t>
      </w:r>
      <w:proofErr w:type="spellStart"/>
      <w:r w:rsidRPr="00912C1E">
        <w:rPr>
          <w:rFonts w:ascii="Times New Roman" w:hAnsi="Times New Roman" w:cs="Times New Roman"/>
          <w:sz w:val="24"/>
          <w:szCs w:val="24"/>
        </w:rPr>
        <w:t>India‟s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Bt</w:t>
      </w:r>
      <w:proofErr w:type="spellEnd"/>
      <w:r w:rsidRPr="00912C1E">
        <w:rPr>
          <w:rFonts w:ascii="Times New Roman" w:hAnsi="Times New Roman" w:cs="Times New Roman"/>
          <w:sz w:val="24"/>
          <w:szCs w:val="24"/>
        </w:rPr>
        <w:t xml:space="preserve"> cotton is planted to this “event” of Monsanto) are incurring large scale losses due to uncontrollable pest attacks, this ‘invention’ is a fit case to be declared as “not patentable”.</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REFUNDING THE COLLECTIONS MADE SO FAR TO INDIAN FARMERS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It is not just a revocation of the patent that is called for, but a refund of the amounts collected from Indian farmers as part of seed prices from the seed companies involved in the sub-licenses. The only way justice can be meted out to them is by getting the Appellants and Respondents in this case to collectively pay back what they have collected from our farmers, as fund to be returned to them.</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III:</w:t>
      </w:r>
      <w:r w:rsidRPr="00912C1E">
        <w:rPr>
          <w:rFonts w:ascii="Times New Roman" w:hAnsi="Times New Roman" w:cs="Times New Roman"/>
          <w:b/>
          <w:sz w:val="24"/>
          <w:szCs w:val="24"/>
        </w:rPr>
        <w:t xml:space="preserve">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DECISION FROM INDIAN PATENT OFFICE ON SECTION 3K</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PATENTS ACT, 1970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As amended by THE PATENTS (AMENDMENT) ACT, 2005</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PATENT RULES, 2003</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As amended by THE PATENTS (AMENDMENT) RULES, 2016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Section 15</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the matter of Patent Application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No. 3217/DEL/2005 dated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30/11/2005</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Hearing offered on 01st September 2016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INTERNATIONAL ALLIED TECHNOLOGIES (ASIA-PACIFIC) INC. ……….Applicants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
    <w:p w:rsidR="00912C1E" w:rsidRPr="00912C1E" w:rsidRDefault="00912C1E" w:rsidP="00912C1E">
      <w:pPr>
        <w:spacing w:after="0"/>
        <w:jc w:val="center"/>
        <w:rPr>
          <w:rFonts w:ascii="Times New Roman" w:hAnsi="Times New Roman" w:cs="Times New Roman"/>
          <w:b/>
          <w:sz w:val="24"/>
          <w:szCs w:val="24"/>
        </w:rPr>
      </w:pPr>
      <w:r w:rsidRPr="00912C1E">
        <w:rPr>
          <w:rFonts w:ascii="Times New Roman" w:hAnsi="Times New Roman" w:cs="Times New Roman"/>
          <w:b/>
          <w:sz w:val="24"/>
          <w:szCs w:val="24"/>
        </w:rPr>
        <w:t>ORDER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instant Patent application No. 3217/DEL/2005 was filed by the applicant CONVERGELABS CORPORATION [now changed to INTERNATIONAL ALLIED TECHNOLOGIES (ASIA-PACIFIC) INC.] on 30/11/2005 for the invention titled “SECURE PAYMENTS OVER A WIRELESS NETWORK “claiming priority from US patent application no. 60/631,903 dated 30/11/2004. The Request for Examination under section 11B was filed by the applicant </w:t>
      </w:r>
      <w:proofErr w:type="gramStart"/>
      <w:r w:rsidRPr="00912C1E">
        <w:rPr>
          <w:rFonts w:ascii="Times New Roman" w:hAnsi="Times New Roman" w:cs="Times New Roman"/>
          <w:sz w:val="24"/>
          <w:szCs w:val="24"/>
        </w:rPr>
        <w:t>vide</w:t>
      </w:r>
      <w:proofErr w:type="gramEnd"/>
      <w:r w:rsidRPr="00912C1E">
        <w:rPr>
          <w:rFonts w:ascii="Times New Roman" w:hAnsi="Times New Roman" w:cs="Times New Roman"/>
          <w:sz w:val="24"/>
          <w:szCs w:val="24"/>
        </w:rPr>
        <w:t xml:space="preserve"> request no. 3059/RQ-DEL/2008 dated 03/04/2008.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Consequent to the Request for Examination, the said application was examined under sections 12 and 13 of Patents Act, 1970(as amended) and the First Examination Report (FER) containing objections was communicated to the applicant on 15/02/2014. In response to the First Examination Report, agent for the applicant has submitted his reply along with the required documents vide letter dated 27/01/2015. The reply to the First Examination Report was examined under section 13(3) and it was observed that the said patent application was not in order for grant. In order to dispose of the application, a hearing was offered to the applicant under section 14 of the Patents Act and accordingly the hearing was fixed on 01/09/2016 in respect of the following objections which were conveyed through hearing notice dated 05/08/2016. The said hearing notice reads as under: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Subject matter as described and claimed in claims 1-9 prima facie lacks novelty and inventive step u/s 2(1)(j) of the patent act 1970 as amended in 2005 in the view of following prior published documents.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D1:WO2002015509.</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US 2002/194138 A1</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D3: US 2002/007320 A1</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Documents D1 discloses a device and method which are enables data transferred during a transaction to be protected. The device includes a connecting means for establishing a communication link with a second party and selection means connected to receive a control message from the second party. The control signal includes a plurality of selectable security protocols and in response to receiving this signal the device selects one of the security protocols. Information is subsequently transferred between the device and the second party using the selected security protocol to protect the transferred data.</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D2 discloses a payment authentication service authenticates the identity of a payer during online transactions. The authentication service allows a card issuer to verify a </w:t>
      </w:r>
      <w:proofErr w:type="spellStart"/>
      <w:r w:rsidRPr="00912C1E">
        <w:rPr>
          <w:rFonts w:ascii="Times New Roman" w:hAnsi="Times New Roman" w:cs="Times New Roman"/>
          <w:sz w:val="24"/>
          <w:szCs w:val="24"/>
        </w:rPr>
        <w:t>cardholder"s</w:t>
      </w:r>
      <w:proofErr w:type="spellEnd"/>
      <w:r w:rsidRPr="00912C1E">
        <w:rPr>
          <w:rFonts w:ascii="Times New Roman" w:hAnsi="Times New Roman" w:cs="Times New Roman"/>
          <w:sz w:val="24"/>
          <w:szCs w:val="24"/>
        </w:rPr>
        <w:t xml:space="preserve"> identity using a variety of authentication methods, such as the use of passwords. Also, the only system participant requiring a certificate is the issuing financial institution. Authenticating the identity of a cardholder during an online transaction involves querying an access control server to determine if a cardholder is enrolled in the payment authentication service, requesting a password from the cardholder, verifying the password, and notifying a merchant whether the </w:t>
      </w:r>
      <w:proofErr w:type="spellStart"/>
      <w:r w:rsidRPr="00912C1E">
        <w:rPr>
          <w:rFonts w:ascii="Times New Roman" w:hAnsi="Times New Roman" w:cs="Times New Roman"/>
          <w:sz w:val="24"/>
          <w:szCs w:val="24"/>
        </w:rPr>
        <w:t>cardholder"s</w:t>
      </w:r>
      <w:proofErr w:type="spellEnd"/>
      <w:r w:rsidRPr="00912C1E">
        <w:rPr>
          <w:rFonts w:ascii="Times New Roman" w:hAnsi="Times New Roman" w:cs="Times New Roman"/>
          <w:sz w:val="24"/>
          <w:szCs w:val="24"/>
        </w:rPr>
        <w:t xml:space="preserve"> authenticity has been verified. A chip card and the authentication service independently generate cryptograms to match in order for the service to verify that the correct chip card is being used by the cardholder. At the time of filing of this </w:t>
      </w:r>
      <w:proofErr w:type="gramStart"/>
      <w:r w:rsidRPr="00912C1E">
        <w:rPr>
          <w:rFonts w:ascii="Times New Roman" w:hAnsi="Times New Roman" w:cs="Times New Roman"/>
          <w:sz w:val="24"/>
          <w:szCs w:val="24"/>
        </w:rPr>
        <w:lastRenderedPageBreak/>
        <w:t>application ,it</w:t>
      </w:r>
      <w:proofErr w:type="gramEnd"/>
      <w:r w:rsidRPr="00912C1E">
        <w:rPr>
          <w:rFonts w:ascii="Times New Roman" w:hAnsi="Times New Roman" w:cs="Times New Roman"/>
          <w:sz w:val="24"/>
          <w:szCs w:val="24"/>
        </w:rPr>
        <w:t xml:space="preserve"> would have been obvious to a person skilled in the art to combine the teachings of D1 with D2-D3.</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2) Subject matter as described and claimed in system/method claims 1-9 fall within the scope of sub clause (k) of section 3 of The Patents Act 1970 </w:t>
      </w:r>
      <w:proofErr w:type="spellStart"/>
      <w:r w:rsidRPr="00912C1E">
        <w:rPr>
          <w:rFonts w:ascii="Times New Roman" w:hAnsi="Times New Roman" w:cs="Times New Roman"/>
          <w:sz w:val="24"/>
          <w:szCs w:val="24"/>
        </w:rPr>
        <w:t>asamended</w:t>
      </w:r>
      <w:proofErr w:type="spellEnd"/>
      <w:r w:rsidRPr="00912C1E">
        <w:rPr>
          <w:rFonts w:ascii="Times New Roman" w:hAnsi="Times New Roman" w:cs="Times New Roman"/>
          <w:sz w:val="24"/>
          <w:szCs w:val="24"/>
        </w:rPr>
        <w:t xml:space="preserve"> by the Patents (Amendment) Act 2005, for being algorithm </w:t>
      </w:r>
      <w:proofErr w:type="spellStart"/>
      <w:r w:rsidRPr="00912C1E">
        <w:rPr>
          <w:rFonts w:ascii="Times New Roman" w:hAnsi="Times New Roman" w:cs="Times New Roman"/>
          <w:sz w:val="24"/>
          <w:szCs w:val="24"/>
        </w:rPr>
        <w:t>basedmethod</w:t>
      </w:r>
      <w:proofErr w:type="spellEnd"/>
      <w:r w:rsidRPr="00912C1E">
        <w:rPr>
          <w:rFonts w:ascii="Times New Roman" w:hAnsi="Times New Roman" w:cs="Times New Roman"/>
          <w:sz w:val="24"/>
          <w:szCs w:val="24"/>
        </w:rPr>
        <w:t>/business method.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 All forms should be filed in the name of new applicant.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4) If any amendment is necessitated in the complete specification then it is required to clearly identify (submission of marked copy) the amendments carried out and to indicate the portion (page no and line no) of the complete specification as filed on which these amendments are based on. Further the pages wherever amendments are carried out need to be freshly typed on white pages and to be filed in duplicate.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5) Please note that this Examination is done on the basis of electronically uploaded documents in the e-module only. You may verify if all documents as filed are uploaded electronically, and bring to the notice of the concerned discrepancies, if any.</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6) Assignment filed in respect of Form-6 dated 27/01/2015 should be certified by authorized patent agent and it should be stamped as per Indian Stamp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7) Marked-up copy should be provided in respect of Form-13 filed on dated 27/01/2015 for technical amendments.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8) Form 26 filed on 27/01/2015 should be stamped as per Indian Stamp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9) Priority document should be duly filed.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During the hearing, the authorized agent for the applicants argued for the case and submitted the oral arguments in respect of the aforesaid objections. Subsequently, the agent has filed response along with the required documents with their letter dated 15/09/2016.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independent claim 1 and 9 as amended are given below for ready reference: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A system for carrying out monetary transactions using a mobile device over a wireless communication network, comprising:</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means for pre-registering the mobile device;</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b</w:t>
      </w:r>
      <w:proofErr w:type="gramEnd"/>
      <w:r w:rsidRPr="00912C1E">
        <w:rPr>
          <w:rFonts w:ascii="Times New Roman" w:hAnsi="Times New Roman" w:cs="Times New Roman"/>
          <w:sz w:val="24"/>
          <w:szCs w:val="24"/>
        </w:rPr>
        <w:t>. means for processing the monetary transaction;</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w:t>
      </w:r>
      <w:proofErr w:type="gramEnd"/>
      <w:r w:rsidRPr="00912C1E">
        <w:rPr>
          <w:rFonts w:ascii="Times New Roman" w:hAnsi="Times New Roman" w:cs="Times New Roman"/>
          <w:sz w:val="24"/>
          <w:szCs w:val="24"/>
        </w:rPr>
        <w:t>. means for receiving payment confirmation.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9. A method for carrying out monetary transactions using a mobile device over a wireless communication network, comprising:</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pre-registering the mobile device with the payment server;</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b</w:t>
      </w:r>
      <w:proofErr w:type="gramEnd"/>
      <w:r w:rsidRPr="00912C1E">
        <w:rPr>
          <w:rFonts w:ascii="Times New Roman" w:hAnsi="Times New Roman" w:cs="Times New Roman"/>
          <w:sz w:val="24"/>
          <w:szCs w:val="24"/>
        </w:rPr>
        <w:t>. sending message to the payment server from the mobile device with the amount, recipient mobile device number and M-PIN;</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w:t>
      </w:r>
      <w:proofErr w:type="gramEnd"/>
      <w:r w:rsidRPr="00912C1E">
        <w:rPr>
          <w:rFonts w:ascii="Times New Roman" w:hAnsi="Times New Roman" w:cs="Times New Roman"/>
          <w:sz w:val="24"/>
          <w:szCs w:val="24"/>
        </w:rPr>
        <w:t>. authenticating the payee’s mobile device;</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d</w:t>
      </w:r>
      <w:proofErr w:type="gramEnd"/>
      <w:r w:rsidRPr="00912C1E">
        <w:rPr>
          <w:rFonts w:ascii="Times New Roman" w:hAnsi="Times New Roman" w:cs="Times New Roman"/>
          <w:sz w:val="24"/>
          <w:szCs w:val="24"/>
        </w:rPr>
        <w:t>. processing the payment.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main substantive issues for determination, raised vide objection S. Nos. 1 and 2 of the said hearing notice, are whether this instant application claims constitute an invention u/s 2(1)(j) of the Patents Act, and whether the claimed subject matter falls under the provisions of section 3(k) of the Patents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Regarding objection 1 of hearing notice: 2(1) (j) Applicant submits that D1 discloses a method and a system for protection of data transferred during a transaction. According to the D1, the invention discloses a mobile device for making transaction with the help of SET protocol and/or EMV application. For the purpose of verifying the customer as well as </w:t>
      </w:r>
      <w:r w:rsidRPr="00912C1E">
        <w:rPr>
          <w:rFonts w:ascii="Times New Roman" w:hAnsi="Times New Roman" w:cs="Times New Roman"/>
          <w:sz w:val="24"/>
          <w:szCs w:val="24"/>
        </w:rPr>
        <w:lastRenderedPageBreak/>
        <w:t xml:space="preserve">merchant, it is essential to preload the software of SET protocol or EMV application in customer’s mobile device. In making the online payment, Mobile device must be </w:t>
      </w:r>
      <w:proofErr w:type="spellStart"/>
      <w:r w:rsidRPr="00912C1E">
        <w:rPr>
          <w:rFonts w:ascii="Times New Roman" w:hAnsi="Times New Roman" w:cs="Times New Roman"/>
          <w:sz w:val="24"/>
          <w:szCs w:val="24"/>
        </w:rPr>
        <w:t>pre installed</w:t>
      </w:r>
      <w:proofErr w:type="spellEnd"/>
      <w:r w:rsidRPr="00912C1E">
        <w:rPr>
          <w:rFonts w:ascii="Times New Roman" w:hAnsi="Times New Roman" w:cs="Times New Roman"/>
          <w:sz w:val="24"/>
          <w:szCs w:val="24"/>
        </w:rPr>
        <w:t xml:space="preserve"> with the software as described earlier so as to make the mobile device enabled to send the encrypted message to merchant, merchant upon receiving the encrypted message, may decrypt the message sent by the customer and send the message to select the security protocol either SET standard or EMV protocol. Once the information in the form of message is exchanged, the procedure of making payment starts.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D2 discloses a payment authentication service authenticates the identity of a payer during online transactions. One aspect of the invention pertains to a method wherein a trusted party authenticates, for the benefit of a third party, that an entity using an account during an online transaction is the actual owner of the account. The method involves receiving, by the trusted party from the entity, of an identity authenticating password, comparing, by the trusted party, of the identity authenticating password received from the entity against a password previously designated for the account, and notifying the third party, by the trusted party, that the entity is the actual owner of the account when the identity authenticating password received from the entity matches the password that was previously designated for the account. Another aspect of the invention pertains to an account authentication system in which a trusted party authenticates, for the benefit of a third party, that an entity using an account during an online transaction is the actual owner of the account. The system includes a trusted party domain, and interoperability domain, and a third party domain. The trusted party domain includes an access control server being configured to receive and verify a password from the entity. The a third party domain includes a third-party plug-in software module contained within a server of the third party, the module configured to send a payment authentication request message to the access control server, the payment authentication request message prompting the access control server to request the password from the customer. The interoperability domain including a receipt database that is configured to store receipts for authenticated online transactions.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And D3 discloses a method of conducting a financial transaction by a purchaser over a communications network where the purchaser “real” payment card information is converted into pseudo account number that is cryptographically processed by secure payment application software. All transactions based on pseudo account numbers are preferably cryptographically authenticated using a secret key that is unique for each account number.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After going through the submissions, it is found that the following are the distinguishing features of the present invention which makes it novel and inventive over cited prior art D1, D2 and D3:</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The present invention is account based storage of financial instrument, and no financial instrument is required to be transmitted to complete a transaction.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 It uses standard wireless network characteristics and M-PIN to verify the identity of the payer.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 The present invention enables secure transactions via SMS and any plug-in is not required in the process.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4) The present invention does not use pseudo account number and the approach is different by using mobile device for pre-registering, authenticating and making transaction.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5) The present invention authenticates Payer and Payee both.</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lastRenderedPageBreak/>
        <w:t>In view of the above findings, objection under section 2(1) (j) has been met.</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Regarding objection 2 of hearing notice: Section 3(k)</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Invention: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present invention relates to a system and a method for carrying out monetary transactions using a mobile device over a wireless communication network for mobile commerce application. Accordingly, the present invention allows mobile subscribers to use their mobile devices for making C2C (Customer to Customer) and C2B (Customer to Business) monetary transactions. The present invention discloses a mobile subscriber, a person who is desirous to make the payment, has to register his/her mobile device(s) with the payment server. The registration process requires the user to provide his/her identification details along with the mobile number and details of bank account or credit/debit card accounts. The details provided by the subscriber are then verified. The mobile number is verified by sending an SMS to the provided number and asking for a response. The details provided by the subscriber are verified through a test transaction. The transaction would fail if the details provided by the subscriber are incorrect. Upon successful verification, an MPIN is generated and delivered to the mobile subscriber. An MPIN is a Mobile Personal Identification Number, which is a unique number corresponding to a mobile number, used for authorizing mobile payments.</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Relevant section of the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section 3(k) of Patents Act is quoted below for </w:t>
      </w:r>
      <w:proofErr w:type="spellStart"/>
      <w:r w:rsidRPr="00912C1E">
        <w:rPr>
          <w:rFonts w:ascii="Times New Roman" w:hAnsi="Times New Roman" w:cs="Times New Roman"/>
          <w:sz w:val="24"/>
          <w:szCs w:val="24"/>
        </w:rPr>
        <w:t>reference</w:t>
      </w:r>
      <w:proofErr w:type="gramStart"/>
      <w:r w:rsidRPr="00912C1E">
        <w:rPr>
          <w:rFonts w:ascii="Times New Roman" w:hAnsi="Times New Roman" w:cs="Times New Roman"/>
          <w:sz w:val="24"/>
          <w:szCs w:val="24"/>
        </w:rPr>
        <w:t>:a</w:t>
      </w:r>
      <w:proofErr w:type="spellEnd"/>
      <w:proofErr w:type="gramEnd"/>
      <w:r w:rsidRPr="00912C1E">
        <w:rPr>
          <w:rFonts w:ascii="Times New Roman" w:hAnsi="Times New Roman" w:cs="Times New Roman"/>
          <w:sz w:val="24"/>
          <w:szCs w:val="24"/>
        </w:rPr>
        <w:t xml:space="preserve"> mathematical or business method or a computer program per se or algorithms.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section proscribes patenting of matter falling under any of the categories mentioned above. Admittedly, the matter does not relate to a mathematical method.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However, whether it pertains to category titled business method, computer program per se and algorithms is an inquiry which I would make in the light of the facts pertinent to this case.</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Guidelines for examining the computer related inventions: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the recently published guidelines for examining the computer related inventions, the test indicators to determine patentability are: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(1)Properly construe the claim and identify the actual contribution;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(2)If the contribution lies only in mathematical method, business method or algorithm, deny the claim;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(3)If the contribution lies in the field of computer </w:t>
      </w:r>
      <w:proofErr w:type="spellStart"/>
      <w:r w:rsidRPr="00912C1E">
        <w:rPr>
          <w:rFonts w:ascii="Times New Roman" w:hAnsi="Times New Roman" w:cs="Times New Roman"/>
          <w:sz w:val="24"/>
          <w:szCs w:val="24"/>
        </w:rPr>
        <w:t>programme</w:t>
      </w:r>
      <w:proofErr w:type="spellEnd"/>
      <w:r w:rsidRPr="00912C1E">
        <w:rPr>
          <w:rFonts w:ascii="Times New Roman" w:hAnsi="Times New Roman" w:cs="Times New Roman"/>
          <w:sz w:val="24"/>
          <w:szCs w:val="24"/>
        </w:rPr>
        <w:t xml:space="preserve">, check whether it is claimed in conjunction with a novel hardware and proceed to other steps to determine patentability with respect to the invention. The computer </w:t>
      </w:r>
      <w:proofErr w:type="spellStart"/>
      <w:r w:rsidRPr="00912C1E">
        <w:rPr>
          <w:rFonts w:ascii="Times New Roman" w:hAnsi="Times New Roman" w:cs="Times New Roman"/>
          <w:sz w:val="24"/>
          <w:szCs w:val="24"/>
        </w:rPr>
        <w:t>programme</w:t>
      </w:r>
      <w:proofErr w:type="spellEnd"/>
      <w:r w:rsidRPr="00912C1E">
        <w:rPr>
          <w:rFonts w:ascii="Times New Roman" w:hAnsi="Times New Roman" w:cs="Times New Roman"/>
          <w:sz w:val="24"/>
          <w:szCs w:val="24"/>
        </w:rPr>
        <w:t xml:space="preserve"> in itself is never patentable. If the contribution lies solely in the computer </w:t>
      </w:r>
      <w:proofErr w:type="spellStart"/>
      <w:r w:rsidRPr="00912C1E">
        <w:rPr>
          <w:rFonts w:ascii="Times New Roman" w:hAnsi="Times New Roman" w:cs="Times New Roman"/>
          <w:sz w:val="24"/>
          <w:szCs w:val="24"/>
        </w:rPr>
        <w:t>programme</w:t>
      </w:r>
      <w:proofErr w:type="spellEnd"/>
      <w:r w:rsidRPr="00912C1E">
        <w:rPr>
          <w:rFonts w:ascii="Times New Roman" w:hAnsi="Times New Roman" w:cs="Times New Roman"/>
          <w:sz w:val="24"/>
          <w:szCs w:val="24"/>
        </w:rPr>
        <w:t xml:space="preserve">, deny the claim. If the contribution lies in both the computer </w:t>
      </w:r>
      <w:proofErr w:type="spellStart"/>
      <w:r w:rsidRPr="00912C1E">
        <w:rPr>
          <w:rFonts w:ascii="Times New Roman" w:hAnsi="Times New Roman" w:cs="Times New Roman"/>
          <w:sz w:val="24"/>
          <w:szCs w:val="24"/>
        </w:rPr>
        <w:t>programme</w:t>
      </w:r>
      <w:proofErr w:type="spellEnd"/>
      <w:r w:rsidRPr="00912C1E">
        <w:rPr>
          <w:rFonts w:ascii="Times New Roman" w:hAnsi="Times New Roman" w:cs="Times New Roman"/>
          <w:sz w:val="24"/>
          <w:szCs w:val="24"/>
        </w:rPr>
        <w:t xml:space="preserve"> as well as hardware, proceed to other steps of patentability.</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independent claim 1 and 9 as amended are given below for ready reference: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A system for carrying out monetary transactions using a mobile device over a wireless communication network, comprising:</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means for pre-registering the mobile device;</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b</w:t>
      </w:r>
      <w:proofErr w:type="gramEnd"/>
      <w:r w:rsidRPr="00912C1E">
        <w:rPr>
          <w:rFonts w:ascii="Times New Roman" w:hAnsi="Times New Roman" w:cs="Times New Roman"/>
          <w:sz w:val="24"/>
          <w:szCs w:val="24"/>
        </w:rPr>
        <w:t>. means for processing the monetary transaction;</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w:t>
      </w:r>
      <w:proofErr w:type="gramEnd"/>
      <w:r w:rsidRPr="00912C1E">
        <w:rPr>
          <w:rFonts w:ascii="Times New Roman" w:hAnsi="Times New Roman" w:cs="Times New Roman"/>
          <w:sz w:val="24"/>
          <w:szCs w:val="24"/>
        </w:rPr>
        <w:t>. means for receiving payment confirmation.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9. A method for carrying out monetary transactions using a mobile device over a wireless communication network, comprising:</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pre-registering the mobile device with the payment server;</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b</w:t>
      </w:r>
      <w:proofErr w:type="gramEnd"/>
      <w:r w:rsidRPr="00912C1E">
        <w:rPr>
          <w:rFonts w:ascii="Times New Roman" w:hAnsi="Times New Roman" w:cs="Times New Roman"/>
          <w:sz w:val="24"/>
          <w:szCs w:val="24"/>
        </w:rPr>
        <w:t>. sending message to the payment server from the mobile device with the amount, recipient mobile device number and M-PIN;</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w:t>
      </w:r>
      <w:proofErr w:type="gramEnd"/>
      <w:r w:rsidRPr="00912C1E">
        <w:rPr>
          <w:rFonts w:ascii="Times New Roman" w:hAnsi="Times New Roman" w:cs="Times New Roman"/>
          <w:sz w:val="24"/>
          <w:szCs w:val="24"/>
        </w:rPr>
        <w:t>. authenticating the payee’s mobile device;</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d</w:t>
      </w:r>
      <w:proofErr w:type="gramEnd"/>
      <w:r w:rsidRPr="00912C1E">
        <w:rPr>
          <w:rFonts w:ascii="Times New Roman" w:hAnsi="Times New Roman" w:cs="Times New Roman"/>
          <w:sz w:val="24"/>
          <w:szCs w:val="24"/>
        </w:rPr>
        <w:t>. processing the payment.</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A. Business Method and computer program per se: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particular, the present invention relates to a system and a method for carrying out monetary transactions using a mobile device over a wireless communication network for mobile commerce application. The present invention discloses the elements of the system such as Mobile subscriber, Payment server, SMSC, Bank server and Payment gateway for carrying out the steps like pre-registering the mobile device, authenticating the mobile subscriber etc., in a schematic manner without any novel or specific hardware limitations. Hence said elements are entirely standard and are not in substance part of the contribution. Moreover, mere functionality disclosed of a system appears automation of business process on known devices. It is noted that neither the claim nor the application as a whole describes any technical interaction between the features which go beyond the mere automation of the said business process. Although the claims are directed towards a system but it is no more than what is there in the method steps of the alleged invention claimed in the disguise of a system without any novel or specific hardware. Therefore, I am of the opinion that the contribution lies solely in carrying out the business activity by executing the computer program on a mobile device.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Further, 4.5.2 of recently published guidelines states that Claims directed as “Business Method”: The term ‘Business Methods’ involves whole gamut of activities in a commercial or industrial enterprise relating to transaction of goods or services. The claims drafted not directly as “business methods” but apparently with some unspecified means are held un-patentable. However, if the claimed subject matter specifies an apparatus and/or a technical process for carrying out the invention even partly, the claims shall be examined as a whole. When a claim is “business methods” in substance, it is not to be considered a patentable subject matter.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However, mere presence of the words such as “enterprise”, “business”, “business rules”, “supply-chain”, “order”, “sales”, “transactions”, “commerce”, “payment” etc. in the claims may not lead to conclusion of an Invention being just a “Business Method”, but if the subject matter is essentially about carrying out business/ trade/ financial activity/transaction and/or a method of buying/selling goods through web (e.g. providing web service functionality), should be treated as business method and shall not be patentable.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view of the above findings, it is concluded that the claimed invention is related to a method of doing business and computer program per se.</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B. Algorithm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Definition of an Algorithm: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Algorithm is a self-contained step-by-step set of operations to be performed. Algorithms perform calculation, data processing, and/or automated reasoning tasks. As is evident, the claims directed towards a method for carrying out monetary transactions using a mobile device over a wireless communication network are presented in the form of algorithmic steps of pre-registering the mobile device with the payment server; sending message to the payment server from the mobile device with the amount, recipient mobile device number and M-PIN; authenticating the payee’s mobile device and processing the </w:t>
      </w:r>
      <w:proofErr w:type="spellStart"/>
      <w:r w:rsidRPr="00912C1E">
        <w:rPr>
          <w:rFonts w:ascii="Times New Roman" w:hAnsi="Times New Roman" w:cs="Times New Roman"/>
          <w:sz w:val="24"/>
          <w:szCs w:val="24"/>
        </w:rPr>
        <w:t>payment.These</w:t>
      </w:r>
      <w:proofErr w:type="spellEnd"/>
      <w:r w:rsidRPr="00912C1E">
        <w:rPr>
          <w:rFonts w:ascii="Times New Roman" w:hAnsi="Times New Roman" w:cs="Times New Roman"/>
          <w:sz w:val="24"/>
          <w:szCs w:val="24"/>
        </w:rPr>
        <w:t xml:space="preserve"> method steps are nothing but an algorithm wherein particular set of steps have been carried out in a prescribed sequence to achieve a desired result and that has recognizable set of end conditions. In this case, automated tasks are to be performed to achieve monetary transactions using a mobile device over a wireless communication network.</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in view of the above facts, the claims 1-15 are not patentable u/s 3 (k) for being business method, computer program per se and an algorithm.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It is noted that although the hearing submissions have attempted to address the other requirements, yet without fulfilling the substantive requirements of the Patents Act</w:t>
      </w:r>
      <w:proofErr w:type="gramStart"/>
      <w:r w:rsidRPr="00912C1E">
        <w:rPr>
          <w:rFonts w:ascii="Times New Roman" w:hAnsi="Times New Roman" w:cs="Times New Roman"/>
          <w:sz w:val="24"/>
          <w:szCs w:val="24"/>
        </w:rPr>
        <w:t>,1970</w:t>
      </w:r>
      <w:proofErr w:type="gramEnd"/>
      <w:r w:rsidRPr="00912C1E">
        <w:rPr>
          <w:rFonts w:ascii="Times New Roman" w:hAnsi="Times New Roman" w:cs="Times New Roman"/>
          <w:sz w:val="24"/>
          <w:szCs w:val="24"/>
        </w:rPr>
        <w:t xml:space="preserve"> i.e. Section 3(k), this instant application is not found in order for grant.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For the foregoing reasons, I affirm that the subject matter as claimed in claims 1 – 15 is not a patent eligible subject matter under section 3(k) of the Patents Act, 1970. I, therefore, refuse the grant of Patent on this application under section 15 of the Patent Act, 1970 (as amended).</w:t>
      </w:r>
    </w:p>
    <w:p w:rsidR="00912C1E" w:rsidRDefault="00912C1E" w:rsidP="00912C1E">
      <w:pPr>
        <w:spacing w:after="0"/>
        <w:jc w:val="both"/>
        <w:rPr>
          <w:rFonts w:ascii="Times New Roman" w:hAnsi="Times New Roman" w:cs="Times New Roman"/>
          <w:b/>
          <w:sz w:val="24"/>
          <w:szCs w:val="24"/>
        </w:rPr>
      </w:pPr>
    </w:p>
    <w:p w:rsid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IV:</w:t>
      </w:r>
      <w:r w:rsidRPr="00912C1E">
        <w:rPr>
          <w:rFonts w:ascii="Times New Roman" w:hAnsi="Times New Roman" w:cs="Times New Roman"/>
          <w:b/>
          <w:sz w:val="24"/>
          <w:szCs w:val="24"/>
        </w:rPr>
        <w:t xml:space="preserve">  </w:t>
      </w: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REFUSAL UNDER SECTION 15 OF THE PATENTS ACT DISCUSSION ON NOVELTY &amp; INVENTIVE STEP –SECTIONS 2(1((j) &amp; 2(1</w:t>
      </w:r>
      <w:proofErr w:type="gramStart"/>
      <w:r w:rsidRPr="00912C1E">
        <w:rPr>
          <w:rFonts w:ascii="Times New Roman" w:hAnsi="Times New Roman" w:cs="Times New Roman"/>
          <w:b/>
          <w:sz w:val="24"/>
          <w:szCs w:val="24"/>
        </w:rPr>
        <w:t>)(</w:t>
      </w:r>
      <w:proofErr w:type="spellStart"/>
      <w:proofErr w:type="gramEnd"/>
      <w:r w:rsidRPr="00912C1E">
        <w:rPr>
          <w:rFonts w:ascii="Times New Roman" w:hAnsi="Times New Roman" w:cs="Times New Roman"/>
          <w:b/>
          <w:sz w:val="24"/>
          <w:szCs w:val="24"/>
        </w:rPr>
        <w:t>ja</w:t>
      </w:r>
      <w:proofErr w:type="spellEnd"/>
      <w:r w:rsidRPr="00912C1E">
        <w:rPr>
          <w:rFonts w:ascii="Times New Roman" w:hAnsi="Times New Roman" w:cs="Times New Roman"/>
          <w:b/>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this case the claims as filed and final amendment to claims followed by Controller’s observations are discussed.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CLAIMS AS FILED FOR THE PATENT APPLICATION NUMBER 3047/CHENP/2007.</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w:t>
      </w:r>
      <w:r w:rsidRPr="00912C1E">
        <w:rPr>
          <w:rFonts w:ascii="Times New Roman" w:hAnsi="Times New Roman" w:cs="Times New Roman"/>
          <w:sz w:val="24"/>
          <w:szCs w:val="24"/>
        </w:rPr>
        <w:tab/>
        <w:t>A device for treatment of skin conditions comprising:</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heating element adapted and configured to contact a skin surface; and a controller adapted and configured to automatically heat the heating element to a temperature of at least about 70°C in a period of less than about one second and to maintain the heating element at a temperature of at least about 70°C for a period of less than one second in response to a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w:t>
      </w:r>
      <w:r w:rsidRPr="00912C1E">
        <w:rPr>
          <w:rFonts w:ascii="Times New Roman" w:hAnsi="Times New Roman" w:cs="Times New Roman"/>
          <w:sz w:val="24"/>
          <w:szCs w:val="24"/>
        </w:rPr>
        <w:tab/>
        <w:t>The device of claim 1 wherein die controller is further adapted to cease heating die heating element and to reheat the heating element without a further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w:t>
      </w:r>
      <w:r w:rsidRPr="00912C1E">
        <w:rPr>
          <w:rFonts w:ascii="Times New Roman" w:hAnsi="Times New Roman" w:cs="Times New Roman"/>
          <w:sz w:val="24"/>
          <w:szCs w:val="24"/>
        </w:rPr>
        <w:tab/>
        <w:t xml:space="preserve">The device of claim 1 wherein said heating element and controller are located in </w:t>
      </w:r>
      <w:proofErr w:type="gramStart"/>
      <w:r w:rsidRPr="00912C1E">
        <w:rPr>
          <w:rFonts w:ascii="Times New Roman" w:hAnsi="Times New Roman" w:cs="Times New Roman"/>
          <w:sz w:val="24"/>
          <w:szCs w:val="24"/>
        </w:rPr>
        <w:t>a housing</w:t>
      </w:r>
      <w:proofErr w:type="gramEnd"/>
      <w:r w:rsidRPr="00912C1E">
        <w:rPr>
          <w:rFonts w:ascii="Times New Roman" w:hAnsi="Times New Roman" w:cs="Times New Roman"/>
          <w:sz w:val="24"/>
          <w:szCs w:val="24"/>
        </w:rPr>
        <w:t>, said housing being capable of being held in a hand of a user.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4.</w:t>
      </w:r>
      <w:r w:rsidRPr="00912C1E">
        <w:rPr>
          <w:rFonts w:ascii="Times New Roman" w:hAnsi="Times New Roman" w:cs="Times New Roman"/>
          <w:sz w:val="24"/>
          <w:szCs w:val="24"/>
        </w:rPr>
        <w:tab/>
        <w:t xml:space="preserve">A device for treatment of skin conditions comprising a housing adapted and configured to be held in a hand of a user, said housing comprising a heating element adapted to contact a skin surface; a controller adapted and configured to automatically heat die heating element to a </w:t>
      </w:r>
      <w:proofErr w:type="spellStart"/>
      <w:r w:rsidRPr="00912C1E">
        <w:rPr>
          <w:rFonts w:ascii="Times New Roman" w:hAnsi="Times New Roman" w:cs="Times New Roman"/>
          <w:sz w:val="24"/>
          <w:szCs w:val="24"/>
        </w:rPr>
        <w:t>tenperatureofat</w:t>
      </w:r>
      <w:proofErr w:type="spellEnd"/>
      <w:r w:rsidRPr="00912C1E">
        <w:rPr>
          <w:rFonts w:ascii="Times New Roman" w:hAnsi="Times New Roman" w:cs="Times New Roman"/>
          <w:sz w:val="24"/>
          <w:szCs w:val="24"/>
        </w:rPr>
        <w:t xml:space="preserve"> least abcmt70°C in a period of less than about one second and to maintain a temperature of at least about 70°C for a period of less than one second in response to a user input; and a user interface adapted and configured to be </w:t>
      </w:r>
      <w:proofErr w:type="spellStart"/>
      <w:r w:rsidRPr="00912C1E">
        <w:rPr>
          <w:rFonts w:ascii="Times New Roman" w:hAnsi="Times New Roman" w:cs="Times New Roman"/>
          <w:sz w:val="24"/>
          <w:szCs w:val="24"/>
        </w:rPr>
        <w:t>acthrated</w:t>
      </w:r>
      <w:proofErr w:type="spellEnd"/>
      <w:r w:rsidRPr="00912C1E">
        <w:rPr>
          <w:rFonts w:ascii="Times New Roman" w:hAnsi="Times New Roman" w:cs="Times New Roman"/>
          <w:sz w:val="24"/>
          <w:szCs w:val="24"/>
        </w:rPr>
        <w:t xml:space="preserve"> by a user to provide said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5.</w:t>
      </w:r>
      <w:r w:rsidRPr="00912C1E">
        <w:rPr>
          <w:rFonts w:ascii="Times New Roman" w:hAnsi="Times New Roman" w:cs="Times New Roman"/>
          <w:sz w:val="24"/>
          <w:szCs w:val="24"/>
        </w:rPr>
        <w:tab/>
        <w:t>The device of claim 4 wherein the controller is further adapted to cease heating die heating element and to reheat die heating element without a further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6.</w:t>
      </w:r>
      <w:r w:rsidRPr="00912C1E">
        <w:rPr>
          <w:rFonts w:ascii="Times New Roman" w:hAnsi="Times New Roman" w:cs="Times New Roman"/>
          <w:sz w:val="24"/>
          <w:szCs w:val="24"/>
        </w:rPr>
        <w:tab/>
        <w:t>A device for treatment of skin conditions comprising: a heating element adapted and configured to be placed against a skin surface to be treated; a handle area adapted and configured to be held by a user and to support die heating element when placed against the skin surface; and a heating circuit adapted and configured to heat the heating element to a temperature of at least about 67°C for less than about 0.1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7.</w:t>
      </w:r>
      <w:r w:rsidRPr="00912C1E">
        <w:rPr>
          <w:rFonts w:ascii="Times New Roman" w:hAnsi="Times New Roman" w:cs="Times New Roman"/>
          <w:sz w:val="24"/>
          <w:szCs w:val="24"/>
        </w:rPr>
        <w:tab/>
        <w:t>The device of claim 6 wherein the heating circuit comprises a controller adapted and configured to control the heat generated by said heating element in response to a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8.</w:t>
      </w:r>
      <w:r w:rsidRPr="00912C1E">
        <w:rPr>
          <w:rFonts w:ascii="Times New Roman" w:hAnsi="Times New Roman" w:cs="Times New Roman"/>
          <w:sz w:val="24"/>
          <w:szCs w:val="24"/>
        </w:rPr>
        <w:tab/>
        <w:t>The device of claim 7 wherein the controller is further adapted to cease heating the heating element and to reheat the heating element without a further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9.</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wherein said heating element comprises a resistive heater.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10.</w:t>
      </w:r>
      <w:r w:rsidRPr="00912C1E">
        <w:rPr>
          <w:rFonts w:ascii="Times New Roman" w:hAnsi="Times New Roman" w:cs="Times New Roman"/>
          <w:sz w:val="24"/>
          <w:szCs w:val="24"/>
        </w:rPr>
        <w:tab/>
        <w:t>The device of claim 9 wherein said resistive heater is a thin metal resistor.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11.</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xml:space="preserve">, or 6 wherein said heating element comprises a metal selected from the group consisting of </w:t>
      </w:r>
      <w:proofErr w:type="spellStart"/>
      <w:r w:rsidRPr="00912C1E">
        <w:rPr>
          <w:rFonts w:ascii="Times New Roman" w:hAnsi="Times New Roman" w:cs="Times New Roman"/>
          <w:sz w:val="24"/>
          <w:szCs w:val="24"/>
        </w:rPr>
        <w:t>nichrome</w:t>
      </w:r>
      <w:proofErr w:type="spellEnd"/>
      <w:r w:rsidRPr="00912C1E">
        <w:rPr>
          <w:rFonts w:ascii="Times New Roman" w:hAnsi="Times New Roman" w:cs="Times New Roman"/>
          <w:sz w:val="24"/>
          <w:szCs w:val="24"/>
        </w:rPr>
        <w:t xml:space="preserve">, tungsten, aluminum, gold, copper and/or </w:t>
      </w:r>
      <w:proofErr w:type="spellStart"/>
      <w:r w:rsidRPr="00912C1E">
        <w:rPr>
          <w:rFonts w:ascii="Times New Roman" w:hAnsi="Times New Roman" w:cs="Times New Roman"/>
          <w:sz w:val="24"/>
          <w:szCs w:val="24"/>
        </w:rPr>
        <w:t>steeL</w:t>
      </w:r>
      <w:proofErr w:type="spell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12.</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wherein said heating element comprises a backing layer, an electrically insulating protective layer, and/or , nigh conductivity layer.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13.</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wherein a skin contact surface of said heating element has a surface area of about I cm2.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14.</w:t>
      </w:r>
      <w:r w:rsidRPr="00912C1E">
        <w:rPr>
          <w:rFonts w:ascii="Times New Roman" w:hAnsi="Times New Roman" w:cs="Times New Roman"/>
          <w:sz w:val="24"/>
          <w:szCs w:val="24"/>
        </w:rPr>
        <w:tab/>
        <w:t>The device of claim 1,4, or 6 wherein said temperature is about 75°C - about 100°C.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15.</w:t>
      </w:r>
      <w:r w:rsidRPr="00912C1E">
        <w:rPr>
          <w:rFonts w:ascii="Times New Roman" w:hAnsi="Times New Roman" w:cs="Times New Roman"/>
          <w:sz w:val="24"/>
          <w:szCs w:val="24"/>
        </w:rPr>
        <w:tab/>
        <w:t>The device of claim 1,4, or 6 wherein said temperature is about 100°C- about 200°C.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16.</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wherein said temperature is achieved in a period of less than about 0.5 seconds.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17.</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wherein said temperature limits total energy transferred to the skin to less than about 50 J/cm2.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18.</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,4,or</w:t>
      </w:r>
      <w:proofErr w:type="gramEnd"/>
      <w:r w:rsidRPr="00912C1E">
        <w:rPr>
          <w:rFonts w:ascii="Times New Roman" w:hAnsi="Times New Roman" w:cs="Times New Roman"/>
          <w:sz w:val="24"/>
          <w:szCs w:val="24"/>
        </w:rPr>
        <w:t xml:space="preserve"> 6 wherein said temperature limits total energy transferred to the skin to less than about 5 J/cm2.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19.</w:t>
      </w:r>
      <w:r w:rsidRPr="00912C1E">
        <w:rPr>
          <w:rFonts w:ascii="Times New Roman" w:hAnsi="Times New Roman" w:cs="Times New Roman"/>
          <w:sz w:val="24"/>
          <w:szCs w:val="24"/>
        </w:rPr>
        <w:tab/>
        <w:t>The device of claim 1, 4, or 6 further comprising a temperature sensor, said sensor being adapted and configured to sense the temperature of said heating element and to control said temperature of said heating element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20.</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further comprising a cooling element, said cooling element adapted and configured to cool said heating element and/or a skin surface to a temperature of less than about 60°C.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21.</w:t>
      </w:r>
      <w:r w:rsidRPr="00912C1E">
        <w:rPr>
          <w:rFonts w:ascii="Times New Roman" w:hAnsi="Times New Roman" w:cs="Times New Roman"/>
          <w:sz w:val="24"/>
          <w:szCs w:val="24"/>
        </w:rPr>
        <w:tab/>
        <w:t>The device of claim 1</w:t>
      </w:r>
      <w:proofErr w:type="gramStart"/>
      <w:r w:rsidRPr="00912C1E">
        <w:rPr>
          <w:rFonts w:ascii="Times New Roman" w:hAnsi="Times New Roman" w:cs="Times New Roman"/>
          <w:sz w:val="24"/>
          <w:szCs w:val="24"/>
        </w:rPr>
        <w:t>,4</w:t>
      </w:r>
      <w:proofErr w:type="gramEnd"/>
      <w:r w:rsidRPr="00912C1E">
        <w:rPr>
          <w:rFonts w:ascii="Times New Roman" w:hAnsi="Times New Roman" w:cs="Times New Roman"/>
          <w:sz w:val="24"/>
          <w:szCs w:val="24"/>
        </w:rPr>
        <w:t>, or 6 further comprising a light emitting diode.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22.</w:t>
      </w:r>
      <w:r w:rsidRPr="00912C1E">
        <w:rPr>
          <w:rFonts w:ascii="Times New Roman" w:hAnsi="Times New Roman" w:cs="Times New Roman"/>
          <w:sz w:val="24"/>
          <w:szCs w:val="24"/>
        </w:rPr>
        <w:tab/>
        <w:t>The device of claim 6 wherein the heating circuit is further adapted to heat the heating element to a temperature of at least 67°C for less than about 0.1 second, lower the temperature of the heating element for a period of about 0.5 seconds, and reheat the heating element to a temperature of at least 67°C for less than about 0.1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23.</w:t>
      </w:r>
      <w:r w:rsidRPr="00912C1E">
        <w:rPr>
          <w:rFonts w:ascii="Times New Roman" w:hAnsi="Times New Roman" w:cs="Times New Roman"/>
          <w:sz w:val="24"/>
          <w:szCs w:val="24"/>
        </w:rPr>
        <w:tab/>
        <w:t>The device of claim 4 wherein activation of said user interface by a user heats said heating element to a peak temperature of about 250°C in about 1 millisecond and said peak temperature decays to about 100°C in less than about 0.5 seconds.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24.</w:t>
      </w:r>
      <w:r w:rsidRPr="00912C1E">
        <w:rPr>
          <w:rFonts w:ascii="Times New Roman" w:hAnsi="Times New Roman" w:cs="Times New Roman"/>
          <w:sz w:val="24"/>
          <w:szCs w:val="24"/>
        </w:rPr>
        <w:tab/>
        <w:t>A method of treating a skin condition comprising heating a skin surface of a subject to a temperature of at least about 70°C in less than about 1 second for a time duration of less than about 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25.</w:t>
      </w:r>
      <w:r w:rsidRPr="00912C1E">
        <w:rPr>
          <w:rFonts w:ascii="Times New Roman" w:hAnsi="Times New Roman" w:cs="Times New Roman"/>
          <w:sz w:val="24"/>
          <w:szCs w:val="24"/>
        </w:rPr>
        <w:tab/>
        <w:t xml:space="preserve">The method of claim 24 further comprising ceasing the heating step for about ten milliseconds to about five seconds, </w:t>
      </w:r>
      <w:proofErr w:type="gramStart"/>
      <w:r w:rsidRPr="00912C1E">
        <w:rPr>
          <w:rFonts w:ascii="Times New Roman" w:hAnsi="Times New Roman" w:cs="Times New Roman"/>
          <w:sz w:val="24"/>
          <w:szCs w:val="24"/>
        </w:rPr>
        <w:t>then</w:t>
      </w:r>
      <w:proofErr w:type="gramEnd"/>
      <w:r w:rsidRPr="00912C1E">
        <w:rPr>
          <w:rFonts w:ascii="Times New Roman" w:hAnsi="Times New Roman" w:cs="Times New Roman"/>
          <w:sz w:val="24"/>
          <w:szCs w:val="24"/>
        </w:rPr>
        <w:t xml:space="preserve"> reheating the skin surface to a temperature of at least about 70°C for a time duration of </w:t>
      </w:r>
      <w:proofErr w:type="spellStart"/>
      <w:r w:rsidRPr="00912C1E">
        <w:rPr>
          <w:rFonts w:ascii="Times New Roman" w:hAnsi="Times New Roman" w:cs="Times New Roman"/>
          <w:sz w:val="24"/>
          <w:szCs w:val="24"/>
        </w:rPr>
        <w:t>leM</w:t>
      </w:r>
      <w:proofErr w:type="spellEnd"/>
      <w:r w:rsidRPr="00912C1E">
        <w:rPr>
          <w:rFonts w:ascii="Times New Roman" w:hAnsi="Times New Roman" w:cs="Times New Roman"/>
          <w:sz w:val="24"/>
          <w:szCs w:val="24"/>
        </w:rPr>
        <w:t xml:space="preserve"> 1second.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26.</w:t>
      </w:r>
      <w:r w:rsidRPr="00912C1E">
        <w:rPr>
          <w:rFonts w:ascii="Times New Roman" w:hAnsi="Times New Roman" w:cs="Times New Roman"/>
          <w:sz w:val="24"/>
          <w:szCs w:val="24"/>
        </w:rPr>
        <w:tab/>
        <w:t>The method of claim 25 further comprising repeating the ceasing and reheating steps.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27.</w:t>
      </w:r>
      <w:r w:rsidRPr="00912C1E">
        <w:rPr>
          <w:rFonts w:ascii="Times New Roman" w:hAnsi="Times New Roman" w:cs="Times New Roman"/>
          <w:sz w:val="24"/>
          <w:szCs w:val="24"/>
        </w:rPr>
        <w:tab/>
        <w:t>A method of treating a skin condition comprising applying to a skin surface of a subject at least two pulses of heat to raise the skin surface to a peak temperature of at least about 70°C, said peak temperature being achieved by each pulse in a time period of less than about one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28.</w:t>
      </w:r>
      <w:r w:rsidRPr="00912C1E">
        <w:rPr>
          <w:rFonts w:ascii="Times New Roman" w:hAnsi="Times New Roman" w:cs="Times New Roman"/>
          <w:sz w:val="24"/>
          <w:szCs w:val="24"/>
        </w:rPr>
        <w:tab/>
        <w:t>The method of claim 27 further comprising providing a delay between the pulses of heat to allow the skin surface to reach a temperature of less than about 50°C.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29.</w:t>
      </w:r>
      <w:r w:rsidRPr="00912C1E">
        <w:rPr>
          <w:rFonts w:ascii="Times New Roman" w:hAnsi="Times New Roman" w:cs="Times New Roman"/>
          <w:sz w:val="24"/>
          <w:szCs w:val="24"/>
        </w:rPr>
        <w:tab/>
        <w:t>The method of claim 24 or 27 further comprising applying a topical substance to the surface of said skin prior to, during, and/or after the application of peak temperature.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30.</w:t>
      </w:r>
      <w:r w:rsidRPr="00912C1E">
        <w:rPr>
          <w:rFonts w:ascii="Times New Roman" w:hAnsi="Times New Roman" w:cs="Times New Roman"/>
          <w:sz w:val="24"/>
          <w:szCs w:val="24"/>
        </w:rPr>
        <w:tab/>
        <w:t xml:space="preserve">The method of claim 24 or 27 wherein the skin condition treated is selected from the group consisting of </w:t>
      </w:r>
      <w:proofErr w:type="gramStart"/>
      <w:r w:rsidRPr="00912C1E">
        <w:rPr>
          <w:rFonts w:ascii="Times New Roman" w:hAnsi="Times New Roman" w:cs="Times New Roman"/>
          <w:sz w:val="24"/>
          <w:szCs w:val="24"/>
        </w:rPr>
        <w:t>an acne</w:t>
      </w:r>
      <w:proofErr w:type="gramEnd"/>
      <w:r w:rsidRPr="00912C1E">
        <w:rPr>
          <w:rFonts w:ascii="Times New Roman" w:hAnsi="Times New Roman" w:cs="Times New Roman"/>
          <w:sz w:val="24"/>
          <w:szCs w:val="24"/>
        </w:rPr>
        <w:t>, a wart, a cold sore, and/or a skin wrinkle.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31.</w:t>
      </w:r>
      <w:r w:rsidRPr="00912C1E">
        <w:rPr>
          <w:rFonts w:ascii="Times New Roman" w:hAnsi="Times New Roman" w:cs="Times New Roman"/>
          <w:sz w:val="24"/>
          <w:szCs w:val="24"/>
        </w:rPr>
        <w:tab/>
        <w:t>The method of claim 24 or 27 wherein die temperature is maintained above about 70°C for a period of less than about 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32.</w:t>
      </w:r>
      <w:r w:rsidRPr="00912C1E">
        <w:rPr>
          <w:rFonts w:ascii="Times New Roman" w:hAnsi="Times New Roman" w:cs="Times New Roman"/>
          <w:sz w:val="24"/>
          <w:szCs w:val="24"/>
        </w:rPr>
        <w:tab/>
        <w:t>A method of treating a skin condition comprising applying a heat source to a skin surface and heating the heat source to a peak temperature greater than about 67°C for less than about 0.1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33.</w:t>
      </w:r>
      <w:r w:rsidRPr="00912C1E">
        <w:rPr>
          <w:rFonts w:ascii="Times New Roman" w:hAnsi="Times New Roman" w:cs="Times New Roman"/>
          <w:sz w:val="24"/>
          <w:szCs w:val="24"/>
        </w:rPr>
        <w:tab/>
        <w:t>The method of claim 32 comprising ceasing the heating step for about ten milliseconds to about five seconds, then reheating the skin to a temperature of at least about 70°C for a time duration of less than about 1 second.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34.</w:t>
      </w:r>
      <w:r w:rsidRPr="00912C1E">
        <w:rPr>
          <w:rFonts w:ascii="Times New Roman" w:hAnsi="Times New Roman" w:cs="Times New Roman"/>
          <w:sz w:val="24"/>
          <w:szCs w:val="24"/>
        </w:rPr>
        <w:tab/>
        <w:t>The method of claim 33 further comprising repeating the ceasing and reheating steps.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PATENTS ACT, 1970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(Section 15)</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In the matter of an application for patent No. 3047/CHENP/2007</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Koninklijke</w:t>
      </w:r>
      <w:proofErr w:type="spellEnd"/>
      <w:r w:rsidRPr="00912C1E">
        <w:rPr>
          <w:rFonts w:ascii="Times New Roman" w:hAnsi="Times New Roman" w:cs="Times New Roman"/>
          <w:sz w:val="24"/>
          <w:szCs w:val="24"/>
        </w:rPr>
        <w:t xml:space="preserve"> Philips Electronics N.V - Applicant,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
    <w:p w:rsidR="00912C1E" w:rsidRPr="00912C1E" w:rsidRDefault="00912C1E" w:rsidP="00912C1E">
      <w:pPr>
        <w:spacing w:after="0"/>
        <w:jc w:val="center"/>
        <w:rPr>
          <w:rFonts w:ascii="Times New Roman" w:hAnsi="Times New Roman" w:cs="Times New Roman"/>
          <w:b/>
          <w:sz w:val="24"/>
          <w:szCs w:val="24"/>
        </w:rPr>
      </w:pPr>
      <w:r w:rsidRPr="00912C1E">
        <w:rPr>
          <w:rFonts w:ascii="Times New Roman" w:hAnsi="Times New Roman" w:cs="Times New Roman"/>
          <w:b/>
          <w:sz w:val="24"/>
          <w:szCs w:val="24"/>
        </w:rPr>
        <w:t>Decision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A hearing was held on 14/09/2016. The hearing notice reads as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Reference is made to the following documents D1 (US4860744A) (29/08/1989)-Thermoelectrically controlled heat medical catheter; D2 (US 20040167592) (26.08.2004) Method and apparatus for the treatment of benign pigmented lesions.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claim 1 was amended as “values of the resistive heater and capacitor are selected so that the energy released by the resistive heater is kept below the threshold for tissue burn” however timing required for rapid heating as well as rapid cooling is the inventive feature of alleged invention and not the unclear of manner of value selection.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claims 5 and 20 are repeating the feature of “heating element to a temperature of at least about 70°C in a period of less than about one second” that means heating can be made to 67°C for less than about 0.1 second thus violating provisions of S10 (5) .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Without prejudice to the above, the subject matter of D2 discloses </w:t>
      </w:r>
      <w:proofErr w:type="spellStart"/>
      <w:r w:rsidRPr="00912C1E">
        <w:rPr>
          <w:rFonts w:ascii="Times New Roman" w:hAnsi="Times New Roman" w:cs="Times New Roman"/>
          <w:sz w:val="24"/>
          <w:szCs w:val="24"/>
        </w:rPr>
        <w:t>ohmic</w:t>
      </w:r>
      <w:proofErr w:type="spellEnd"/>
      <w:r w:rsidRPr="00912C1E">
        <w:rPr>
          <w:rFonts w:ascii="Times New Roman" w:hAnsi="Times New Roman" w:cs="Times New Roman"/>
          <w:sz w:val="24"/>
          <w:szCs w:val="24"/>
        </w:rPr>
        <w:t xml:space="preserve"> heating element and a heat removal element (cooling) within the apparatus which is thermally coupled to the surface to provide rapid heating and rapid cooling of the skin surface in contact. In D2, Output from the battery passes through a standard capacitor-charging circuit when a switch is depressed resulting in the. So the features of independent claim 1 of the instant invention lack novelty as per section 2(1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j) of the Patent Act 1970.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D2 teaches treatment of lesions in a region of skin in which a thermal pulse is supplied to the lesion through contact with a surface that is rapidly heated, an </w:t>
      </w:r>
      <w:proofErr w:type="spellStart"/>
      <w:r w:rsidRPr="00912C1E">
        <w:rPr>
          <w:rFonts w:ascii="Times New Roman" w:hAnsi="Times New Roman" w:cs="Times New Roman"/>
          <w:sz w:val="24"/>
          <w:szCs w:val="24"/>
        </w:rPr>
        <w:t>ohmic</w:t>
      </w:r>
      <w:proofErr w:type="spellEnd"/>
      <w:r w:rsidRPr="00912C1E">
        <w:rPr>
          <w:rFonts w:ascii="Times New Roman" w:hAnsi="Times New Roman" w:cs="Times New Roman"/>
          <w:sz w:val="24"/>
          <w:szCs w:val="24"/>
        </w:rPr>
        <w:t xml:space="preserve"> heating element at least 60 degrees Celsius in less than 200 milliseconds and then is subsequently cooled rapidly at less than 50 degrees Celsius in less than 500 milliseconds and in which a contact sensor is employed to inhibit the activation of the </w:t>
      </w:r>
      <w:proofErr w:type="spellStart"/>
      <w:r w:rsidRPr="00912C1E">
        <w:rPr>
          <w:rFonts w:ascii="Times New Roman" w:hAnsi="Times New Roman" w:cs="Times New Roman"/>
          <w:sz w:val="24"/>
          <w:szCs w:val="24"/>
        </w:rPr>
        <w:t>ohmic</w:t>
      </w:r>
      <w:proofErr w:type="spellEnd"/>
      <w:r w:rsidRPr="00912C1E">
        <w:rPr>
          <w:rFonts w:ascii="Times New Roman" w:hAnsi="Times New Roman" w:cs="Times New Roman"/>
          <w:sz w:val="24"/>
          <w:szCs w:val="24"/>
        </w:rPr>
        <w:t xml:space="preserve"> heating element when a contact sensor indicates the absence of contact between the surface and the region of skin.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view of cited documents D1&amp;D2, the amended claims (1-22) lacks inventive step as per section 2(1</w:t>
      </w:r>
      <w:proofErr w:type="gramStart"/>
      <w:r w:rsidRPr="00912C1E">
        <w:rPr>
          <w:rFonts w:ascii="Times New Roman" w:hAnsi="Times New Roman" w:cs="Times New Roman"/>
          <w:sz w:val="24"/>
          <w:szCs w:val="24"/>
        </w:rPr>
        <w:t>)(</w:t>
      </w:r>
      <w:proofErr w:type="spellStart"/>
      <w:proofErr w:type="gramEnd"/>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of the patent Act 1970. In case the applicant decides to amend the claims subsequent to this report, the same shall be drafted afresh to include the technical advancement over the prior art cited, in the Independent claim/s as required u/s 2(1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j) of the Patent’s Act. Please indicate in the response communication the support for such amendments claims in the original specification, as required u/s 10(4) of the Act .Care shall be taken that requirement section 59 (1) of the Act is also met. Please provide an additional copy of marked up amendments (highlighting the amendments) wherever applicable.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the case of disagreement with this report, the same shall be supported by technical reasons therefor.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 Assignment or Proof of Right from inventors in favor of the Applicant should be filed with necessary petition U/R 137 read with Section 7(2) of the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 File all required fresh forms as per amendments done according to Form 13 and Form 6 dated 19.02.2016 and 18/02.2016.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Having attended the hearing the agents for the applicant made the following submissions Regarding 1: In this objection, the Examiner considers that the amended device claims 1 to 22 filed in response to First Examination report lacks novelty and inventive step in view of D1 (US4860744A) and D2 (US20040167592). He pointed out that the feature “values of the resistive heater and capacitor are selected so that the energy released by the resistive heater is kept below the threshold for tissue burn” is not clear with the manner of value selection. </w:t>
      </w:r>
      <w:proofErr w:type="gramStart"/>
      <w:r w:rsidRPr="00912C1E">
        <w:rPr>
          <w:rFonts w:ascii="Times New Roman" w:hAnsi="Times New Roman" w:cs="Times New Roman"/>
          <w:sz w:val="24"/>
          <w:szCs w:val="24"/>
        </w:rPr>
        <w:t>i.e</w:t>
      </w:r>
      <w:proofErr w:type="gramEnd"/>
      <w:r w:rsidRPr="00912C1E">
        <w:rPr>
          <w:rFonts w:ascii="Times New Roman" w:hAnsi="Times New Roman" w:cs="Times New Roman"/>
          <w:sz w:val="24"/>
          <w:szCs w:val="24"/>
        </w:rPr>
        <w:t>. no connectivity with the controlling temperature defined in claim 1.</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Further, the examiner is of opinion that the temperature of heating element which defined in dependent claims 5 and 20 are repetitive in view of claim 1 which lacks clarity in defining the scope of the invention for which protection is sought under section 10(5) of the patents Act.  It is to be noted that the citation D2 is a new prior art document referred by the Examiner in addition to D1 which cited already in FER.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To overcome the above objection and also the reasons which discussed during hearing, now applicant humbly submits that independent claim 1 has been suitably amended to bring out the invention clearly and also claims are included with the reference numerals.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1. A device (10) for treatment of skin conditions comprising: a heating element (32) adapted and configured to contact a skin surface wherein the heating element comprises a resistive heater (52, 250, 750); a capacitor (25, 220) that is discharged through the heating element </w:t>
      </w:r>
      <w:r w:rsidRPr="00912C1E">
        <w:rPr>
          <w:rFonts w:ascii="Times New Roman" w:hAnsi="Times New Roman" w:cs="Times New Roman"/>
          <w:sz w:val="24"/>
          <w:szCs w:val="24"/>
        </w:rPr>
        <w:lastRenderedPageBreak/>
        <w:t xml:space="preserve">(32) in response to a user input, and a controller (30, 720) adapted and configured to automatically heat the heating element (32) to a temperature of at least about 70°C in a period of less than about one second and to maintain the heating element(32) at a temperature of at least about 70°C for a period of less than one second in response to the user input, wherein the values of the resistive heater and capacitor are selected so that the energy released by </w:t>
      </w:r>
      <w:r w:rsidRPr="00912C1E">
        <w:rPr>
          <w:rFonts w:ascii="Times New Roman" w:hAnsi="Times New Roman" w:cs="Times New Roman"/>
          <w:sz w:val="24"/>
          <w:szCs w:val="24"/>
          <w:u w:val="single"/>
        </w:rPr>
        <w:t>the resistive heater is kept below the threshold for tissue burn, and wherein the threshold for tissue burn is a function of the temperature</w:t>
      </w:r>
      <w:r w:rsidRPr="00912C1E">
        <w:rPr>
          <w:rFonts w:ascii="Times New Roman" w:hAnsi="Times New Roman" w:cs="Times New Roman"/>
          <w:sz w:val="24"/>
          <w:szCs w:val="24"/>
        </w:rPr>
        <w:t xml:space="preserve"> (in view of lines 37 and 38 in page 9 of description).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Dependent claims 5 and 20 have been deleted. Further fig. 7 has been amended to correct the clerical error in mentioning the reference numeral in line with the description. A marked-up copy of amended claims and amended Fig. 7 is also attached herewith.</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Patentability</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Novelty</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Moreover, it is clearly understand that the object of the present invention is to provide a hand held device with controlled temperature that can be safely used to heat tissue for treatment of skin conditions and skin lesions such as lesions, acne, removing fine wrinkles and clearing skin. Accordingly, the claimed device produces the controlled application of thermal energy to the tissue without causing a burn.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Further, the claimed subject matter of device with the following distinguishing features as per the invention achieves controlled heating of heating element for treatment of skin conditions.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accordance with the present invention, the independent device claim 1 comprising the structural features namely a heating element, which includes a resistive heater and a capacitor that can be discharged through the heating element in response to a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Further, the configuration of Controller in combination with resistor and capacitor provides controlled application of energy for heating element to a temperature of 70 </w:t>
      </w:r>
      <w:proofErr w:type="gramStart"/>
      <w:r w:rsidRPr="00912C1E">
        <w:rPr>
          <w:rFonts w:ascii="Times New Roman" w:hAnsi="Times New Roman" w:cs="Times New Roman"/>
          <w:sz w:val="24"/>
          <w:szCs w:val="24"/>
        </w:rPr>
        <w:t xml:space="preserve">degree  </w:t>
      </w:r>
      <w:proofErr w:type="spellStart"/>
      <w:r w:rsidRPr="00912C1E">
        <w:rPr>
          <w:rFonts w:ascii="Times New Roman" w:hAnsi="Times New Roman" w:cs="Times New Roman"/>
          <w:sz w:val="24"/>
          <w:szCs w:val="24"/>
        </w:rPr>
        <w:t>celscius</w:t>
      </w:r>
      <w:proofErr w:type="spellEnd"/>
      <w:proofErr w:type="gramEnd"/>
      <w:r w:rsidRPr="00912C1E">
        <w:rPr>
          <w:rFonts w:ascii="Times New Roman" w:hAnsi="Times New Roman" w:cs="Times New Roman"/>
          <w:sz w:val="24"/>
          <w:szCs w:val="24"/>
        </w:rPr>
        <w:t xml:space="preserve"> less than about 1 second and the values of the resistive heater and the capacitor are selected so that the energy released through the resistive heater can be kept below the threshold for tissue burn and wherein the threshold for tissue burn is a function of the temperature.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Neither D1 nor D2 disclose about the combination of heating element having a resistive heater with a capacitor that can be discharged through the resistive heater.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Both D1 and D2 does not disclose that a controller is adapted and configured to automatically heat the heating element to a temperature of at least about 70°C in a period of less than about one second and to maintain the heating element at a temperature of at least about 70°C for a period of less than one second in response to the user input.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D1 and D2 do not disclose the device with a controller to keep the energy release to the skin below the threshold for tissue burn and wherein the threshold for tissue burn is a function of the temperature.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These distinguished features are novel and inventive over D1 and D2.</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Inventive step</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accordance with the present invention, the claimed device provides a technical effect of limitation of the energy transfer between the device and the skin by using a capacitor which </w:t>
      </w:r>
      <w:r w:rsidRPr="00912C1E">
        <w:rPr>
          <w:rFonts w:ascii="Times New Roman" w:hAnsi="Times New Roman" w:cs="Times New Roman"/>
          <w:sz w:val="24"/>
          <w:szCs w:val="24"/>
        </w:rPr>
        <w:lastRenderedPageBreak/>
        <w:t>discharges through the heater. The controller of the device delivers a controlled amount of thermal energy to the surface of the skin from a heating element with a maximum possible temperature of 70 degree Celsius for the skin in short duration of less than 1 second. Further, the device does not damage the skin during application of the energy by means of an appropriate selected capacitor and the resistive heater, such that the energy released is kept below the threshold for tissue burn and wherein the threshold for tissue burn is a function of temperature.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“(D2) US20040167592 (new citation) discloses an apparatus for the treatment of a benign pigmented lesion by applying heat to the surface of the human skin. This citation D2 provides heating with a maximum temperatures followed by the rapid cooling, wherein the application of heat causes thermal injury and thermal damage. Further this thermal injury is confined primarily to the epidermal region of the skin in contact with the surface.” (</w:t>
      </w:r>
      <w:proofErr w:type="gramStart"/>
      <w:r w:rsidRPr="00912C1E">
        <w:rPr>
          <w:rFonts w:ascii="Times New Roman" w:hAnsi="Times New Roman" w:cs="Times New Roman"/>
          <w:sz w:val="24"/>
          <w:szCs w:val="24"/>
        </w:rPr>
        <w:t>in</w:t>
      </w:r>
      <w:proofErr w:type="gramEnd"/>
      <w:r w:rsidRPr="00912C1E">
        <w:rPr>
          <w:rFonts w:ascii="Times New Roman" w:hAnsi="Times New Roman" w:cs="Times New Roman"/>
          <w:sz w:val="24"/>
          <w:szCs w:val="24"/>
        </w:rPr>
        <w:t xml:space="preserve"> support from </w:t>
      </w:r>
      <w:proofErr w:type="spellStart"/>
      <w:r w:rsidRPr="00912C1E">
        <w:rPr>
          <w:rFonts w:ascii="Times New Roman" w:hAnsi="Times New Roman" w:cs="Times New Roman"/>
          <w:sz w:val="24"/>
          <w:szCs w:val="24"/>
        </w:rPr>
        <w:t>para</w:t>
      </w:r>
      <w:proofErr w:type="spellEnd"/>
      <w:r w:rsidRPr="00912C1E">
        <w:rPr>
          <w:rFonts w:ascii="Times New Roman" w:hAnsi="Times New Roman" w:cs="Times New Roman"/>
          <w:sz w:val="24"/>
          <w:szCs w:val="24"/>
        </w:rPr>
        <w:t xml:space="preserve"> 0015 and </w:t>
      </w:r>
      <w:proofErr w:type="spellStart"/>
      <w:r w:rsidRPr="00912C1E">
        <w:rPr>
          <w:rFonts w:ascii="Times New Roman" w:hAnsi="Times New Roman" w:cs="Times New Roman"/>
          <w:sz w:val="24"/>
          <w:szCs w:val="24"/>
        </w:rPr>
        <w:t>para</w:t>
      </w:r>
      <w:proofErr w:type="spellEnd"/>
      <w:r w:rsidRPr="00912C1E">
        <w:rPr>
          <w:rFonts w:ascii="Times New Roman" w:hAnsi="Times New Roman" w:cs="Times New Roman"/>
          <w:sz w:val="24"/>
          <w:szCs w:val="24"/>
        </w:rPr>
        <w:t xml:space="preserve"> 0038 of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With above configuration, the claimed device achieves the controlled amount of thermal energy at the surface, and allowing the thermal energy to flow into epidermis and also the upper layer of the dermis resulting in new collagen production. By this it results in providing the temporary pore enlargements for cleansing of the skin pores by expulsions of unwanted debris, dirt and contaminants that filling the pores.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D1 and D2 do not suggest or discloses the above configuration with controlled heating of the heating element to achieve the above technical effect as disclosed in claim 1 without burning the tissue.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view of above mentioned arguments, applicant submit that none of the citations D1and D2 discloses all the above combination of structural features as recited in amended independent claim 1. So, we humbly submit that the subject matter defined in independent claim 1 differs from the above citations and therefore it is novel and also considered to involve inventive step.</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Similarly, dependent claims 2-20 which depend directly or indirectly on independent claim 1 also novel and inventive in view of D1 and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the present invention, as defined in the attached claims 1 to 20 is novel and must be considered to involve an inventive step over the cited references as per the requirements of Section 2(1) (j) of the Patents Act 1970.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Thus, we humbly request the Controller to reconsider this objection </w:t>
      </w:r>
      <w:proofErr w:type="spellStart"/>
      <w:r w:rsidRPr="00912C1E">
        <w:rPr>
          <w:rFonts w:ascii="Times New Roman" w:hAnsi="Times New Roman" w:cs="Times New Roman"/>
          <w:sz w:val="24"/>
          <w:szCs w:val="24"/>
        </w:rPr>
        <w:t>favourably</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Regarding 2: Please note that Original Form-1 executed by the inventors was already filed in the Patent Office via our letter no. 267 dated 7 January 2008. Hence proof of right from the inventors to the applicant was filed within a prescribed period of six months from Filing date and accordingly petition is not required for this application. We are attaching herewith a copy of our letter and Form-1 for your ready reference. As this requirement was already complied with, we humbly request the Controller to withdraw this objection.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Regarding 3: We humbly submit that in respect of </w:t>
      </w:r>
      <w:proofErr w:type="spellStart"/>
      <w:r w:rsidRPr="00912C1E">
        <w:rPr>
          <w:rFonts w:ascii="Times New Roman" w:hAnsi="Times New Roman" w:cs="Times New Roman"/>
          <w:sz w:val="24"/>
          <w:szCs w:val="24"/>
        </w:rPr>
        <w:t>recordal</w:t>
      </w:r>
      <w:proofErr w:type="spellEnd"/>
      <w:r w:rsidRPr="00912C1E">
        <w:rPr>
          <w:rFonts w:ascii="Times New Roman" w:hAnsi="Times New Roman" w:cs="Times New Roman"/>
          <w:sz w:val="24"/>
          <w:szCs w:val="24"/>
        </w:rPr>
        <w:t xml:space="preserve"> of new applicant name, we have already filed fresh Form-1, Form-2 and Abstract on 22 February 2016 via e-filing module which was also uploaded and found in the Patent Office website.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we humbly request the Controller to reconsider this objection favorably. We also request the Learned Controller to take above submission on record and to issue the letters patent Document in the name of new applicant “</w:t>
      </w:r>
      <w:proofErr w:type="spellStart"/>
      <w:r w:rsidRPr="00912C1E">
        <w:rPr>
          <w:rFonts w:ascii="Times New Roman" w:hAnsi="Times New Roman" w:cs="Times New Roman"/>
          <w:sz w:val="24"/>
          <w:szCs w:val="24"/>
        </w:rPr>
        <w:t>Koninklijke</w:t>
      </w:r>
      <w:proofErr w:type="spellEnd"/>
      <w:r w:rsidRPr="00912C1E">
        <w:rPr>
          <w:rFonts w:ascii="Times New Roman" w:hAnsi="Times New Roman" w:cs="Times New Roman"/>
          <w:sz w:val="24"/>
          <w:szCs w:val="24"/>
        </w:rPr>
        <w:t xml:space="preserve"> Philips </w:t>
      </w:r>
      <w:proofErr w:type="spellStart"/>
      <w:r w:rsidRPr="00912C1E">
        <w:rPr>
          <w:rFonts w:ascii="Times New Roman" w:hAnsi="Times New Roman" w:cs="Times New Roman"/>
          <w:sz w:val="24"/>
          <w:szCs w:val="24"/>
        </w:rPr>
        <w:t>ElectronicsN.V</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We are uploading herewith, revised claims 1 to 20 through e-filing module. We trust that this application will now be found in order for grant.</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Objective of the instant application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​It is an object of the present invention to provide devices for treating skin conditions and skin lesions, such as acne, removing fine wrinkles and clearing skin. Another object of the present invention is to provide a hand held device that can be safely used to heat tissue without causing a burn. By appropriate selection of the heating pulse format and heater materials the peak tissue temperature and time history can be controlled.​ (It is implied that what is appropriate </w:t>
      </w:r>
      <w:proofErr w:type="spellStart"/>
      <w:r w:rsidRPr="00912C1E">
        <w:rPr>
          <w:rFonts w:ascii="Times New Roman" w:hAnsi="Times New Roman" w:cs="Times New Roman"/>
          <w:sz w:val="24"/>
          <w:szCs w:val="24"/>
        </w:rPr>
        <w:t>iswell</w:t>
      </w:r>
      <w:proofErr w:type="spellEnd"/>
      <w:r w:rsidRPr="00912C1E">
        <w:rPr>
          <w:rFonts w:ascii="Times New Roman" w:hAnsi="Times New Roman" w:cs="Times New Roman"/>
          <w:sz w:val="24"/>
          <w:szCs w:val="24"/>
        </w:rPr>
        <w:t xml:space="preserve"> known)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​Not intending to limit the mechanism of action - the present invention envisions a plurality of skin improvement effects by the methods. By depositing a controlled amount of thermal energy at the surface and allowing the energy to flow into the upper layer of the dermis to achieve controlled damage to the collagen in the upper dermal layer. Possibly a cooling element can be activated after a predetermined time of surface heating to remove thermal energy from the surface of the skin, protect the surface of the skin from a lengthy exposure to thermal energy, and reverse the flow of thermal energy from deeper lying layers in the dermis back to the surface. </w:t>
      </w:r>
      <w:proofErr w:type="gramStart"/>
      <w:r w:rsidRPr="00912C1E">
        <w:rPr>
          <w:rFonts w:ascii="Times New Roman" w:hAnsi="Times New Roman" w:cs="Times New Roman"/>
          <w:sz w:val="24"/>
          <w:szCs w:val="24"/>
        </w:rPr>
        <w:t>By thermally damaging the surface layers of the skin followed by flaking and removal of portions of the stratum conium, and portions of the epidermis and dermis.</w:t>
      </w:r>
      <w:proofErr w:type="gram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By thermally damaging vascular or a pigmented component of the skin near the skin surface (in the epidermis or upper dermis).</w:t>
      </w:r>
      <w:proofErr w:type="gramEnd"/>
      <w:r w:rsidRPr="00912C1E">
        <w:rPr>
          <w:rFonts w:ascii="Times New Roman" w:hAnsi="Times New Roman" w:cs="Times New Roman"/>
          <w:sz w:val="24"/>
          <w:szCs w:val="24"/>
        </w:rPr>
        <w:t xml:space="preserve"> These unwanted damaged components will then be removed by the body as waste products eliminating disfiguring skin blemishes.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D2 teaches “The above results suggest that, if the desired thermal injury can be created by some much simpler and less expensive means than laser or IPL, and at the same time confined primarily to the epidermis, a safe, therapeutic outcome would result using a device of much lower cost</w:t>
      </w:r>
      <w:proofErr w:type="gramStart"/>
      <w:r w:rsidRPr="00912C1E">
        <w:rPr>
          <w:rFonts w:ascii="Times New Roman" w:hAnsi="Times New Roman" w:cs="Times New Roman"/>
          <w:sz w:val="24"/>
          <w:szCs w:val="24"/>
        </w:rPr>
        <w:t>. ”</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Purpose of </w:t>
      </w:r>
      <w:proofErr w:type="gramStart"/>
      <w:r w:rsidRPr="00912C1E">
        <w:rPr>
          <w:rFonts w:ascii="Times New Roman" w:hAnsi="Times New Roman" w:cs="Times New Roman"/>
          <w:sz w:val="24"/>
          <w:szCs w:val="24"/>
        </w:rPr>
        <w:t>D2 :</w:t>
      </w:r>
      <w:proofErr w:type="gramEnd"/>
      <w:r w:rsidRPr="00912C1E">
        <w:rPr>
          <w:rFonts w:ascii="Times New Roman" w:hAnsi="Times New Roman" w:cs="Times New Roman"/>
          <w:sz w:val="24"/>
          <w:szCs w:val="24"/>
        </w:rPr>
        <w:t xml:space="preserve"> To effect controlled thermal injury to the epidermis for treatment of a benign pigmented lesion . By judicious choice of the rate of heating, maximum temperatures achieved, and rate of cooling, the thermal injury can be confined primarily to the epidermal region of the skin in contact with the surface. Thermal injury, primarily within the epidermis containing the benign pigmented lesion, stimulates a healing process and subsequent normal re-pigmentation of the skin</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paragraph 15 of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Benefits of rapid cooling is also taught by D2 The pre-cooling of the surface, and especially the rapid cooling of the surface following heating further serve to reduce the discomfort associated with the use of the device. (</w:t>
      </w:r>
      <w:proofErr w:type="gramStart"/>
      <w:r w:rsidRPr="00912C1E">
        <w:rPr>
          <w:rFonts w:ascii="Times New Roman" w:hAnsi="Times New Roman" w:cs="Times New Roman"/>
          <w:sz w:val="24"/>
          <w:szCs w:val="24"/>
        </w:rPr>
        <w:t>paragraph</w:t>
      </w:r>
      <w:proofErr w:type="gramEnd"/>
      <w:r w:rsidRPr="00912C1E">
        <w:rPr>
          <w:rFonts w:ascii="Times New Roman" w:hAnsi="Times New Roman" w:cs="Times New Roman"/>
          <w:sz w:val="24"/>
          <w:szCs w:val="24"/>
        </w:rPr>
        <w:t xml:space="preserve"> 17 of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Less than 1 minute heating and cooling times are disclosed by D2 (paragraph 21 of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How rapid heating and cooling are carried out is disclosed in paragraphs 38</w:t>
      </w:r>
      <w:proofErr w:type="gramStart"/>
      <w:r w:rsidRPr="00912C1E">
        <w:rPr>
          <w:rFonts w:ascii="Times New Roman" w:hAnsi="Times New Roman" w:cs="Times New Roman"/>
          <w:sz w:val="24"/>
          <w:szCs w:val="24"/>
        </w:rPr>
        <w:t>,42</w:t>
      </w:r>
      <w:proofErr w:type="gramEnd"/>
      <w:r w:rsidRPr="00912C1E">
        <w:rPr>
          <w:rFonts w:ascii="Times New Roman" w:hAnsi="Times New Roman" w:cs="Times New Roman"/>
          <w:sz w:val="24"/>
          <w:szCs w:val="24"/>
        </w:rPr>
        <w:t xml:space="preserve"> of D2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rapid heating of the sheet 12 in contact with the skin causes heat to propagate through the epidermis 10, causing the desired thermal damage. However, because the portion of the dermis 11 adjacent to the epidermis has been pre-cooled, and because the sheet 12 in contact with the skin is backed by the cooled heat-removal element 18, the heated epidermis rapidly cools (after the electrical current is turned off) by thermal conduction both downward into the dermis and upward into the cooled thermal mass of the device.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In an alternative embodiment of the device, the device is not pre-cooled, and the desired epidermal damage is achieved by virtue of the rapid heating and rapid cooling described herein, without prior cooling of the skin below its average temperature.</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Analysis: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Amended claim 1 includes the feature of “and wherein the threshold for tissue burn is a function of the temperature.” However the description of instant application refers to a study on thermal injury. Thus claiming the feature threshold for tissue burn being function of </w:t>
      </w:r>
      <w:proofErr w:type="gramStart"/>
      <w:r w:rsidRPr="00912C1E">
        <w:rPr>
          <w:rFonts w:ascii="Times New Roman" w:hAnsi="Times New Roman" w:cs="Times New Roman"/>
          <w:sz w:val="24"/>
          <w:szCs w:val="24"/>
        </w:rPr>
        <w:t>temperature ​</w:t>
      </w:r>
      <w:proofErr w:type="spellStart"/>
      <w:r w:rsidRPr="00912C1E">
        <w:rPr>
          <w:rFonts w:ascii="Times New Roman" w:hAnsi="Times New Roman" w:cs="Times New Roman"/>
          <w:sz w:val="24"/>
          <w:szCs w:val="24"/>
        </w:rPr>
        <w:t>can</w:t>
      </w:r>
      <w:proofErr w:type="gramEnd"/>
      <w:r w:rsidRPr="00912C1E">
        <w:rPr>
          <w:rFonts w:ascii="Times New Roman" w:hAnsi="Times New Roman" w:cs="Times New Roman"/>
          <w:sz w:val="24"/>
          <w:szCs w:val="24"/>
        </w:rPr>
        <w:t xml:space="preserve"> not</w:t>
      </w:r>
      <w:proofErr w:type="spellEnd"/>
      <w:r w:rsidRPr="00912C1E">
        <w:rPr>
          <w:rFonts w:ascii="Times New Roman" w:hAnsi="Times New Roman" w:cs="Times New Roman"/>
          <w:sz w:val="24"/>
          <w:szCs w:val="24"/>
        </w:rPr>
        <w:t xml:space="preserve"> be allowed as inventive, based on the above referred portion of the description.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Applicant’s contention that D2 damages skin is incorrect.</w:t>
      </w:r>
    </w:p>
    <w:p w:rsidR="00912C1E" w:rsidRPr="00912C1E" w:rsidRDefault="00912C1E" w:rsidP="00912C1E">
      <w:pPr>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“​This</w:t>
      </w:r>
      <w:proofErr w:type="gramEnd"/>
      <w:r w:rsidRPr="00912C1E">
        <w:rPr>
          <w:rFonts w:ascii="Times New Roman" w:hAnsi="Times New Roman" w:cs="Times New Roman"/>
          <w:sz w:val="24"/>
          <w:szCs w:val="24"/>
        </w:rPr>
        <w:t xml:space="preserve"> citation D2 provides rapid heating with a maximum temperatures followed by the rapid cooling, wherein the application of heat causes thermal injury and thermal damage. Further this thermal injury is confined primarily to the epidermal region of the skin in contact with the surface.” (</w:t>
      </w:r>
      <w:proofErr w:type="gramStart"/>
      <w:r w:rsidRPr="00912C1E">
        <w:rPr>
          <w:rFonts w:ascii="Times New Roman" w:hAnsi="Times New Roman" w:cs="Times New Roman"/>
          <w:sz w:val="24"/>
          <w:szCs w:val="24"/>
        </w:rPr>
        <w:t>in</w:t>
      </w:r>
      <w:proofErr w:type="gramEnd"/>
      <w:r w:rsidRPr="00912C1E">
        <w:rPr>
          <w:rFonts w:ascii="Times New Roman" w:hAnsi="Times New Roman" w:cs="Times New Roman"/>
          <w:sz w:val="24"/>
          <w:szCs w:val="24"/>
        </w:rPr>
        <w:t xml:space="preserve"> support from </w:t>
      </w:r>
      <w:proofErr w:type="spellStart"/>
      <w:r w:rsidRPr="00912C1E">
        <w:rPr>
          <w:rFonts w:ascii="Times New Roman" w:hAnsi="Times New Roman" w:cs="Times New Roman"/>
          <w:sz w:val="24"/>
          <w:szCs w:val="24"/>
        </w:rPr>
        <w:t>para</w:t>
      </w:r>
      <w:proofErr w:type="spellEnd"/>
      <w:r w:rsidRPr="00912C1E">
        <w:rPr>
          <w:rFonts w:ascii="Times New Roman" w:hAnsi="Times New Roman" w:cs="Times New Roman"/>
          <w:sz w:val="24"/>
          <w:szCs w:val="24"/>
        </w:rPr>
        <w:t xml:space="preserve"> 0015 and </w:t>
      </w:r>
      <w:proofErr w:type="spellStart"/>
      <w:r w:rsidRPr="00912C1E">
        <w:rPr>
          <w:rFonts w:ascii="Times New Roman" w:hAnsi="Times New Roman" w:cs="Times New Roman"/>
          <w:sz w:val="24"/>
          <w:szCs w:val="24"/>
        </w:rPr>
        <w:t>para</w:t>
      </w:r>
      <w:proofErr w:type="spellEnd"/>
      <w:r w:rsidRPr="00912C1E">
        <w:rPr>
          <w:rFonts w:ascii="Times New Roman" w:hAnsi="Times New Roman" w:cs="Times New Roman"/>
          <w:sz w:val="24"/>
          <w:szCs w:val="24"/>
        </w:rPr>
        <w:t xml:space="preserve"> 0038 of D2) ” Because both instant invention and D2 are about Devices for the treatment of skin conditions using ​controlled heat and to say D 2 alone causes thermal injury is factually incorrect.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Claim 10 of D2 among others specifies that D2 is </w:t>
      </w: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xml:space="preserve"> handheld, self-contained apparatus for causing controlled heat-induced thermal injury to a region of skin of a person. Paragraphs 31,32 of instant invention admit that by thermally damaging the surface layers of the skin followed by flaking and removal of portions of the stratum conium, and portions of the epidermis and dermis by thermally damaging vascular or a pigmented component of the skin near the skin surface (in the epidermis or upper dermis). These unwanted damaged components will then be removed by the body as waste products eliminating disfiguring skin blemishes. Applicant’s contention that D1, D2 do not teach about a resistive heater with a capacitor that can be discharged through the resistive heater is not correct.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As per paragraph 22 of instant application, capacitor discharges through resistive heater. However Capacitor based charging circuits are disclosed in paragraph 47 of D2. While D2 does not explicitly teach that “The released energy and the discharge time are functions of the values of capacitor, resistive heater” the same will be obvious to a skilled person. Any standard charging /discharging circuit will inadvertently have a resistor and capacitor. Since less than one minute heating, cooling times are envisaged by both instant application and D2 for applying controlled heat to skin both will need to use resistor and capacitor in their respective charging /discharging circuits.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Arguments of the applicant have not been convincing enough for the reasons given above. Therefore I hereby order that the grant of a patent is hereby refused under the provisions of Section 15 of the Patents Act.</w:t>
      </w:r>
    </w:p>
    <w:p w:rsidR="00912C1E" w:rsidRDefault="00912C1E" w:rsidP="00912C1E">
      <w:pPr>
        <w:spacing w:after="0"/>
        <w:jc w:val="both"/>
        <w:rPr>
          <w:rFonts w:ascii="Times New Roman" w:hAnsi="Times New Roman" w:cs="Times New Roman"/>
          <w:b/>
          <w:sz w:val="24"/>
          <w:szCs w:val="24"/>
        </w:rPr>
      </w:pPr>
    </w:p>
    <w:p w:rsid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V:</w:t>
      </w:r>
      <w:r w:rsidRPr="00912C1E">
        <w:rPr>
          <w:rFonts w:ascii="Times New Roman" w:hAnsi="Times New Roman" w:cs="Times New Roman"/>
          <w:b/>
          <w:sz w:val="24"/>
          <w:szCs w:val="24"/>
        </w:rPr>
        <w:t xml:space="preserve">  </w:t>
      </w: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POST GRANT OPPOSITION: PATENT NUMBER AS 237489 WITH THE APPLICATION NUMBER 2382/CHENP/2004 –PATENT REVOCATION </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sz w:val="24"/>
          <w:szCs w:val="24"/>
        </w:rPr>
        <w:t>In the matter of Post Grant Opposition under The Section 25(2) of The Patents (Amendment) Act 2005 and The Patents Rules 55-A to 63 of The Patents Rules (Amendment) 2006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the matter of Patent bearing the number as 237489 with the Application Number 2382/CHENP/2004 filed on 20th October 2004 by NOVARTIS AG, of </w:t>
      </w:r>
      <w:proofErr w:type="spellStart"/>
      <w:r w:rsidRPr="00912C1E">
        <w:rPr>
          <w:rFonts w:ascii="Times New Roman" w:hAnsi="Times New Roman" w:cs="Times New Roman"/>
          <w:sz w:val="24"/>
          <w:szCs w:val="24"/>
        </w:rPr>
        <w:t>Lichtstrasse</w:t>
      </w:r>
      <w:proofErr w:type="spellEnd"/>
      <w:r w:rsidRPr="00912C1E">
        <w:rPr>
          <w:rFonts w:ascii="Times New Roman" w:hAnsi="Times New Roman" w:cs="Times New Roman"/>
          <w:sz w:val="24"/>
          <w:szCs w:val="24"/>
        </w:rPr>
        <w:t xml:space="preserve"> 35, CH-4056 Basel, Switzerland, </w:t>
      </w:r>
      <w:proofErr w:type="gramStart"/>
      <w:r w:rsidRPr="00912C1E">
        <w:rPr>
          <w:rFonts w:ascii="Times New Roman" w:hAnsi="Times New Roman" w:cs="Times New Roman"/>
          <w:sz w:val="24"/>
          <w:szCs w:val="24"/>
        </w:rPr>
        <w:t>a</w:t>
      </w:r>
      <w:proofErr w:type="gramEnd"/>
      <w:r w:rsidRPr="00912C1E">
        <w:rPr>
          <w:rFonts w:ascii="Times New Roman" w:hAnsi="Times New Roman" w:cs="Times New Roman"/>
          <w:sz w:val="24"/>
          <w:szCs w:val="24"/>
        </w:rPr>
        <w:t xml:space="preserve"> Swiss Company.</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the matter of Post-Grant Opposition Filed under Section 25(2) of the Patents Act (as amended) by M/s NATCO PHARMA LTD.,, an Indian Company, at H.No:8-2-112/A/32, Road No:2, </w:t>
      </w:r>
      <w:proofErr w:type="spellStart"/>
      <w:r w:rsidRPr="00912C1E">
        <w:rPr>
          <w:rFonts w:ascii="Times New Roman" w:hAnsi="Times New Roman" w:cs="Times New Roman"/>
          <w:sz w:val="24"/>
          <w:szCs w:val="24"/>
        </w:rPr>
        <w:t>Banjara</w:t>
      </w:r>
      <w:proofErr w:type="spellEnd"/>
      <w:r w:rsidRPr="00912C1E">
        <w:rPr>
          <w:rFonts w:ascii="Times New Roman" w:hAnsi="Times New Roman" w:cs="Times New Roman"/>
          <w:sz w:val="24"/>
          <w:szCs w:val="24"/>
        </w:rPr>
        <w:t xml:space="preserve"> Hills, Hyderabad – 500 033.</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GRANTED CLAIMS ON RECORD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A process for the preparation of a tablet, wherein the said tablet comprises a pharmacologically effective amount of compound I [structural formula – not shown here]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or a pharmaceutically acceptable salt thereof in an amount from about 30% to 80% in weight of the active moiety based on the total weight of the tablet, wherein said tablet comprises at least one binder in a total amount of about 1% to 25% in weight based on the total weight of the tablet, wherein said process comprises;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 </w:t>
      </w:r>
      <w:proofErr w:type="gramStart"/>
      <w:r w:rsidRPr="00912C1E">
        <w:rPr>
          <w:rFonts w:ascii="Times New Roman" w:hAnsi="Times New Roman" w:cs="Times New Roman"/>
          <w:sz w:val="24"/>
          <w:szCs w:val="24"/>
        </w:rPr>
        <w:t>mixing</w:t>
      </w:r>
      <w:proofErr w:type="gramEnd"/>
      <w:r w:rsidRPr="00912C1E">
        <w:rPr>
          <w:rFonts w:ascii="Times New Roman" w:hAnsi="Times New Roman" w:cs="Times New Roman"/>
          <w:sz w:val="24"/>
          <w:szCs w:val="24"/>
        </w:rPr>
        <w:t xml:space="preserve"> the Compound I or pharmaceutically acceptable salts thereof and pharmaceutically acceptable excipients;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(ii) wet-granulating;</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(iii) </w:t>
      </w:r>
      <w:proofErr w:type="gramStart"/>
      <w:r w:rsidRPr="00912C1E">
        <w:rPr>
          <w:rFonts w:ascii="Times New Roman" w:hAnsi="Times New Roman" w:cs="Times New Roman"/>
          <w:sz w:val="24"/>
          <w:szCs w:val="24"/>
        </w:rPr>
        <w:t>mixing</w:t>
      </w:r>
      <w:proofErr w:type="gramEnd"/>
      <w:r w:rsidRPr="00912C1E">
        <w:rPr>
          <w:rFonts w:ascii="Times New Roman" w:hAnsi="Times New Roman" w:cs="Times New Roman"/>
          <w:sz w:val="24"/>
          <w:szCs w:val="24"/>
        </w:rPr>
        <w:t xml:space="preserve"> with pharmaceutically acceptable excipients to form a mixture;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(iv) </w:t>
      </w:r>
      <w:proofErr w:type="gramStart"/>
      <w:r w:rsidRPr="00912C1E">
        <w:rPr>
          <w:rFonts w:ascii="Times New Roman" w:hAnsi="Times New Roman" w:cs="Times New Roman"/>
          <w:sz w:val="24"/>
          <w:szCs w:val="24"/>
        </w:rPr>
        <w:t>compressing</w:t>
      </w:r>
      <w:proofErr w:type="gramEnd"/>
      <w:r w:rsidRPr="00912C1E">
        <w:rPr>
          <w:rFonts w:ascii="Times New Roman" w:hAnsi="Times New Roman" w:cs="Times New Roman"/>
          <w:sz w:val="24"/>
          <w:szCs w:val="24"/>
        </w:rPr>
        <w:t xml:space="preserve"> the mixture obtained in step (iii) to form a tablet.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 The process as claimed in claim 1 wherein the said tablet is coated.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3. The process as claimed in claim 1 or 2 wherein Compound I is in the </w:t>
      </w:r>
      <w:proofErr w:type="spellStart"/>
      <w:r w:rsidRPr="00912C1E">
        <w:rPr>
          <w:rFonts w:ascii="Times New Roman" w:hAnsi="Times New Roman" w:cs="Times New Roman"/>
          <w:sz w:val="24"/>
          <w:szCs w:val="24"/>
        </w:rPr>
        <w:t>monomesylate</w:t>
      </w:r>
      <w:proofErr w:type="spellEnd"/>
      <w:r w:rsidRPr="00912C1E">
        <w:rPr>
          <w:rFonts w:ascii="Times New Roman" w:hAnsi="Times New Roman" w:cs="Times New Roman"/>
          <w:sz w:val="24"/>
          <w:szCs w:val="24"/>
        </w:rPr>
        <w:t xml:space="preserve"> salt form.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4. The process as claimed in claim 3 wherein Compound I </w:t>
      </w:r>
      <w:proofErr w:type="spellStart"/>
      <w:r w:rsidRPr="00912C1E">
        <w:rPr>
          <w:rFonts w:ascii="Times New Roman" w:hAnsi="Times New Roman" w:cs="Times New Roman"/>
          <w:sz w:val="24"/>
          <w:szCs w:val="24"/>
        </w:rPr>
        <w:t>monomesylate</w:t>
      </w:r>
      <w:proofErr w:type="spellEnd"/>
      <w:r w:rsidRPr="00912C1E">
        <w:rPr>
          <w:rFonts w:ascii="Times New Roman" w:hAnsi="Times New Roman" w:cs="Times New Roman"/>
          <w:sz w:val="24"/>
          <w:szCs w:val="24"/>
        </w:rPr>
        <w:t xml:space="preserve"> is in the beta crystal form thereof.</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5. The process as claimed in any of the claims 1 to 4 wherein the said tablet comprises at least one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6. The process as claimed in claim 5 wherein said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 xml:space="preserve"> is in a total amount of about 10% to 35% in weight based on the total weight of the tablet.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7. The process as claimed in any of the claims 1 to 6 wherein said tablet comprises at least one binder in a total amount of about 1% to 25% in weight based on the total weight of the tablet, at least one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 xml:space="preserve"> in a total amount of 10% to 35% in weight based on the total weight of the tablet, at least one </w:t>
      </w:r>
      <w:proofErr w:type="spellStart"/>
      <w:r w:rsidRPr="00912C1E">
        <w:rPr>
          <w:rFonts w:ascii="Times New Roman" w:hAnsi="Times New Roman" w:cs="Times New Roman"/>
          <w:sz w:val="24"/>
          <w:szCs w:val="24"/>
        </w:rPr>
        <w:t>glidant</w:t>
      </w:r>
      <w:proofErr w:type="spellEnd"/>
      <w:r w:rsidRPr="00912C1E">
        <w:rPr>
          <w:rFonts w:ascii="Times New Roman" w:hAnsi="Times New Roman" w:cs="Times New Roman"/>
          <w:sz w:val="24"/>
          <w:szCs w:val="24"/>
        </w:rPr>
        <w:t xml:space="preserve"> in a total amount of about 0.5% to 3% in weight  based on the total weight of the tablet and/or at least one lubricant in a total amount of about 0.5% to 2% in weight based on the total weight of the tablet.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8. The process as claimed in any of the claims 1 to 7 wherein </w:t>
      </w:r>
      <w:proofErr w:type="gramStart"/>
      <w:r w:rsidRPr="00912C1E">
        <w:rPr>
          <w:rFonts w:ascii="Times New Roman" w:hAnsi="Times New Roman" w:cs="Times New Roman"/>
          <w:sz w:val="24"/>
          <w:szCs w:val="24"/>
        </w:rPr>
        <w:t>said binder</w:t>
      </w:r>
      <w:proofErr w:type="gramEnd"/>
      <w:r w:rsidRPr="00912C1E">
        <w:rPr>
          <w:rFonts w:ascii="Times New Roman" w:hAnsi="Times New Roman" w:cs="Times New Roman"/>
          <w:sz w:val="24"/>
          <w:szCs w:val="24"/>
        </w:rPr>
        <w:t xml:space="preserve"> comprises microcrystalline cellulose or </w:t>
      </w:r>
      <w:proofErr w:type="spellStart"/>
      <w:r w:rsidRPr="00912C1E">
        <w:rPr>
          <w:rFonts w:ascii="Times New Roman" w:hAnsi="Times New Roman" w:cs="Times New Roman"/>
          <w:sz w:val="24"/>
          <w:szCs w:val="24"/>
        </w:rPr>
        <w:t>hydroxypropylmethyl</w:t>
      </w:r>
      <w:proofErr w:type="spellEnd"/>
      <w:r w:rsidRPr="00912C1E">
        <w:rPr>
          <w:rFonts w:ascii="Times New Roman" w:hAnsi="Times New Roman" w:cs="Times New Roman"/>
          <w:sz w:val="24"/>
          <w:szCs w:val="24"/>
        </w:rPr>
        <w:t xml:space="preserve"> cellulose or a mixture thereof.</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9. The process as claimed in any of the claims 1 to 8 wherein said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 xml:space="preserve"> comprises </w:t>
      </w:r>
      <w:proofErr w:type="spellStart"/>
      <w:r w:rsidRPr="00912C1E">
        <w:rPr>
          <w:rFonts w:ascii="Times New Roman" w:hAnsi="Times New Roman" w:cs="Times New Roman"/>
          <w:sz w:val="24"/>
          <w:szCs w:val="24"/>
        </w:rPr>
        <w:t>crosslinked</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polyvinylpyrrolidinone</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10. The process as claimed in any one of the claims 1 to 9 wherein said </w:t>
      </w:r>
      <w:proofErr w:type="spellStart"/>
      <w:r w:rsidRPr="00912C1E">
        <w:rPr>
          <w:rFonts w:ascii="Times New Roman" w:hAnsi="Times New Roman" w:cs="Times New Roman"/>
          <w:sz w:val="24"/>
          <w:szCs w:val="24"/>
        </w:rPr>
        <w:t>glidant</w:t>
      </w:r>
      <w:proofErr w:type="spellEnd"/>
      <w:r w:rsidRPr="00912C1E">
        <w:rPr>
          <w:rFonts w:ascii="Times New Roman" w:hAnsi="Times New Roman" w:cs="Times New Roman"/>
          <w:sz w:val="24"/>
          <w:szCs w:val="24"/>
        </w:rPr>
        <w:t xml:space="preserve"> comprises colloidal silicone dioxide and/or colloidal anhydrous silica.</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11. The process as claimed in any of the claims 1 to 10 wherein the lubricant comprises magnesium stearate.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12. The process as claimed in any of the claims 1 to 11 wherein Compound I or a pharmaceutically acceptable salt thereof is present in an amount from about 50% to 80% in weight of the active moiety based on the total weight of the tablet.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13. A tablet prepared by the wet-granulation process as claimed in any of the claims 1 to 12.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GROUNDS OF OPPOSITION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Opponents through their Written Statement have opposed the present patent on the following specified grounds as mentioned in the Section 25(2) of the Act, namely;</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1) Section </w:t>
      </w:r>
      <w:r w:rsidRPr="00912C1E">
        <w:rPr>
          <w:rFonts w:ascii="Times New Roman" w:hAnsi="Times New Roman" w:cs="Times New Roman"/>
          <w:b/>
          <w:sz w:val="24"/>
          <w:szCs w:val="24"/>
        </w:rPr>
        <w:t>25 (2) (e):</w:t>
      </w:r>
      <w:r w:rsidRPr="00912C1E">
        <w:rPr>
          <w:rFonts w:ascii="Times New Roman" w:hAnsi="Times New Roman" w:cs="Times New Roman"/>
          <w:sz w:val="24"/>
          <w:szCs w:val="24"/>
        </w:rPr>
        <w:t xml:space="preserve"> that the invention so far as claimed in any claim of the complete specification is obvious and clearly does not involve any inventive step, having regard to the matter published as mentioned in clause (a) or having regard to what was used in India before the priority date of the claim;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2) Section </w:t>
      </w:r>
      <w:r w:rsidRPr="00912C1E">
        <w:rPr>
          <w:rFonts w:ascii="Times New Roman" w:hAnsi="Times New Roman" w:cs="Times New Roman"/>
          <w:b/>
          <w:sz w:val="24"/>
          <w:szCs w:val="24"/>
        </w:rPr>
        <w:t>25 (2) (f):</w:t>
      </w:r>
      <w:r w:rsidRPr="00912C1E">
        <w:rPr>
          <w:rFonts w:ascii="Times New Roman" w:hAnsi="Times New Roman" w:cs="Times New Roman"/>
          <w:sz w:val="24"/>
          <w:szCs w:val="24"/>
        </w:rPr>
        <w:t xml:space="preserve"> that the subject of any claim of the complete specification is not an invention within the meaning of this Act, or is not patentable under this Act;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3) Section </w:t>
      </w:r>
      <w:r w:rsidRPr="00912C1E">
        <w:rPr>
          <w:rFonts w:ascii="Times New Roman" w:hAnsi="Times New Roman" w:cs="Times New Roman"/>
          <w:b/>
          <w:sz w:val="24"/>
          <w:szCs w:val="24"/>
        </w:rPr>
        <w:t>25 (2) (g):</w:t>
      </w:r>
      <w:r w:rsidRPr="00912C1E">
        <w:rPr>
          <w:rFonts w:ascii="Times New Roman" w:hAnsi="Times New Roman" w:cs="Times New Roman"/>
          <w:sz w:val="24"/>
          <w:szCs w:val="24"/>
        </w:rPr>
        <w:t xml:space="preserve"> that the complete specification does not sufficiently and clearly describe the invention or the method by which it is to be performed;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4) Section </w:t>
      </w:r>
      <w:r w:rsidRPr="00912C1E">
        <w:rPr>
          <w:rFonts w:ascii="Times New Roman" w:hAnsi="Times New Roman" w:cs="Times New Roman"/>
          <w:b/>
          <w:sz w:val="24"/>
          <w:szCs w:val="24"/>
        </w:rPr>
        <w:t>25 (2) (h</w:t>
      </w:r>
      <w:r w:rsidRPr="00912C1E">
        <w:rPr>
          <w:rFonts w:ascii="Times New Roman" w:hAnsi="Times New Roman" w:cs="Times New Roman"/>
          <w:sz w:val="24"/>
          <w:szCs w:val="24"/>
        </w:rPr>
        <w:t>): the patentee has failed to disclose to the Controller the information required by Section 8 or has furnished the information which in any material particular was false to his knowledge.</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RECOMMENDATIONS OF THE OPPOSITION BOARD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Opposition Board has sent its recommendations within the stipulated period of three months from the date of forwarding the documents that is on 5th October 2011. The final recommendations of the Opposition Board are reproduced as hereunder;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The opposition under section 25(2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e) and 25(2)(f) can be considered as valid grounds of opposition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 The opposition under section 25(2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g) and 25(2)(h) cannot be considered as valid grounds of opposition</w:t>
      </w:r>
    </w:p>
    <w:p w:rsid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PROBLEM AND SOLUTION AS STATED IN THE GRANTED SPECIFICATION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The Patentee has acknowledged under the prior art as disclosed in the description of the invention that compound I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its salt forms and crystal forms such as alpha and beta forms are known in the prior art. It was further disclosed that the aim of the invention is to produce a tablet comprising the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active ingredient which is convenient for administration as a single daily dose. In the preparation of such tablet the problem(s) identified by the patentee which has been disclosed by the patentee in the page number 5 and paragraph 5 of the specification is reproduced as herein; “The present inventors have encountered difficulties in the production of Compound I tablets due to high friability values and poor abrasion resistance. Further, the flexibility in the quantity of excipients, e.g.,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is limited due to high drug load of the product. Thus, there still exists a need for commercially acceptable Compound I dosage forms for oral administration with good patient convenience and acceptance.” In the last paragraph of the same page of the specification and in second paragraph of the next page of the specification the patentee has provided a solution for the above said problem, thus; “In accordance with the present invention, it has now unexpectedly been found that stable and convenient </w:t>
      </w:r>
      <w:proofErr w:type="spellStart"/>
      <w:r w:rsidRPr="00912C1E">
        <w:rPr>
          <w:rFonts w:ascii="Times New Roman" w:hAnsi="Times New Roman" w:cs="Times New Roman"/>
          <w:sz w:val="24"/>
          <w:szCs w:val="24"/>
        </w:rPr>
        <w:t>galenic</w:t>
      </w:r>
      <w:proofErr w:type="spellEnd"/>
      <w:r w:rsidRPr="00912C1E">
        <w:rPr>
          <w:rFonts w:ascii="Times New Roman" w:hAnsi="Times New Roman" w:cs="Times New Roman"/>
          <w:sz w:val="24"/>
          <w:szCs w:val="24"/>
        </w:rPr>
        <w:t xml:space="preserve"> tablets comprising Compound I </w:t>
      </w:r>
      <w:r w:rsidRPr="00912C1E">
        <w:rPr>
          <w:rFonts w:ascii="Times New Roman" w:hAnsi="Times New Roman" w:cs="Times New Roman"/>
          <w:sz w:val="24"/>
          <w:szCs w:val="24"/>
        </w:rPr>
        <w:lastRenderedPageBreak/>
        <w:t xml:space="preserve">are obtainable. The applicants have found that pharmaceutically acceptable oral solid dosage forms in the form of tablets, being particularly convenient to administer and stable, may be obtained by preparation of tablets by compression methods. More specifically, the tablets of the invention may be prepared by granulation, preferably wet granulation followed by compression methods. Compound I, especially the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salt, exhibits high particle size, e.g., 60% of the Compound I starting material having a particle size greater than or equal to 100 micro meter e.g., 90% of the particles are smaller or equal to 420 micro meter. Wet granulation process is usually performed with a starting material of particle size lower than 100 micro </w:t>
      </w:r>
      <w:proofErr w:type="gramStart"/>
      <w:r w:rsidRPr="00912C1E">
        <w:rPr>
          <w:rFonts w:ascii="Times New Roman" w:hAnsi="Times New Roman" w:cs="Times New Roman"/>
          <w:sz w:val="24"/>
          <w:szCs w:val="24"/>
        </w:rPr>
        <w:t>meter</w:t>
      </w:r>
      <w:proofErr w:type="gramEnd"/>
      <w:r w:rsidRPr="00912C1E">
        <w:rPr>
          <w:rFonts w:ascii="Times New Roman" w:hAnsi="Times New Roman" w:cs="Times New Roman"/>
          <w:sz w:val="24"/>
          <w:szCs w:val="24"/>
        </w:rPr>
        <w:t xml:space="preserve">." AND “Tablets according to the invention surprisingly provide for the administration of Compound I in a smaller size than was hitherto possible for a given unit dose of Compound I. The tablets of the invention are, despite the high drug load loading, small, and, therefore, convenient to administer. This leads to a better patient compliance.” The Patentee however in the specification though not defined on what is “high drug load” of a tablet it is concluded from the contents of the tablet as provided therein that the amount of Compound I or pharmaceutically acceptable salt thereof, calculated as the percentage of the content in weight of the active moiety based on the total weight of the tablet, is from about 30% to 80%. [Preferably it can be more than 55%]. In a further explanation it was defined the active moiety of the tablet as the Compound I in the free base form. For example, 119.5 mg of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correspond to 100 mg of Compound I free base active moiety. Thus it can be concluded that “high drug load” is indirectly defined in the specification.</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ARGUMENTS UNDER SECTION 25 (2) (e):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agent for the opponent has opened the arguments stating that the claimed invention is obvious over the prior art because as agreed by the patentee the Compound I either as free base or as a salt especially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salt and different crystalline forms whether it is alpha or beta are known in the prior art before the priority date. Tablets comprising the Compound I in any form were available before the priority date. </w:t>
      </w:r>
      <w:proofErr w:type="gramStart"/>
      <w:r w:rsidRPr="00912C1E">
        <w:rPr>
          <w:rFonts w:ascii="Times New Roman" w:hAnsi="Times New Roman" w:cs="Times New Roman"/>
          <w:sz w:val="24"/>
          <w:szCs w:val="24"/>
        </w:rPr>
        <w:t>A process for the preparation of tablets wherein the choice of using the wet-granulation method for the preparation of such tablets is known to be an age old process.</w:t>
      </w:r>
      <w:proofErr w:type="gramEnd"/>
      <w:r w:rsidRPr="00912C1E">
        <w:rPr>
          <w:rFonts w:ascii="Times New Roman" w:hAnsi="Times New Roman" w:cs="Times New Roman"/>
          <w:sz w:val="24"/>
          <w:szCs w:val="24"/>
        </w:rPr>
        <w:t xml:space="preserve"> Therefore the preparations of a high drug load tablets comprising the Compound I is a result of trial and error method and does not require any inventiveness. In addition the selection of other ingredients of the said tablet which according to the patentee are selected from the known list and in the absence of any specific reference does not contribute to the inventive step. Hence the invention does not satisfy the requirements of the Section 2(1</w:t>
      </w:r>
      <w:proofErr w:type="gramStart"/>
      <w:r w:rsidRPr="00912C1E">
        <w:rPr>
          <w:rFonts w:ascii="Times New Roman" w:hAnsi="Times New Roman" w:cs="Times New Roman"/>
          <w:sz w:val="24"/>
          <w:szCs w:val="24"/>
        </w:rPr>
        <w:t>)(</w:t>
      </w:r>
      <w:proofErr w:type="spellStart"/>
      <w:proofErr w:type="gramEnd"/>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xml:space="preserve">) of the Act consequently the ground of opposition under the provisions of the Section 25(2)(e) is a valid ground and the patent is ought to be revoked. With reference to paragraph 42 of the decision issued by Supreme Court of India in the case of </w:t>
      </w:r>
      <w:proofErr w:type="spellStart"/>
      <w:r w:rsidRPr="00912C1E">
        <w:rPr>
          <w:rFonts w:ascii="Times New Roman" w:hAnsi="Times New Roman" w:cs="Times New Roman"/>
          <w:sz w:val="24"/>
          <w:szCs w:val="24"/>
        </w:rPr>
        <w:t>Bishwanath</w:t>
      </w:r>
      <w:proofErr w:type="spellEnd"/>
      <w:r w:rsidRPr="00912C1E">
        <w:rPr>
          <w:rFonts w:ascii="Times New Roman" w:hAnsi="Times New Roman" w:cs="Times New Roman"/>
          <w:sz w:val="24"/>
          <w:szCs w:val="24"/>
        </w:rPr>
        <w:t xml:space="preserve"> Prasad </w:t>
      </w:r>
      <w:proofErr w:type="spellStart"/>
      <w:r w:rsidRPr="00912C1E">
        <w:rPr>
          <w:rFonts w:ascii="Times New Roman" w:hAnsi="Times New Roman" w:cs="Times New Roman"/>
          <w:sz w:val="24"/>
          <w:szCs w:val="24"/>
        </w:rPr>
        <w:t>Radhey</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Shyam</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Hindustan Metal Industries decided on 13/12/1978 the agent for the opponent has stated that the proper way to construe a specification is not to read the claims first and then see what the full description of the invention is, but first to read the description of the invention, in order that the mind may be prepared for what it is, that the invention is to be claimed, for the patentee cannot claim more than the desires to patent. In Parkinson v Simon (1894) 11 R.P.C. 483 Lord </w:t>
      </w:r>
      <w:proofErr w:type="spellStart"/>
      <w:r w:rsidRPr="00912C1E">
        <w:rPr>
          <w:rFonts w:ascii="Times New Roman" w:hAnsi="Times New Roman" w:cs="Times New Roman"/>
          <w:sz w:val="24"/>
          <w:szCs w:val="24"/>
        </w:rPr>
        <w:t>Esher</w:t>
      </w:r>
      <w:proofErr w:type="spellEnd"/>
      <w:r w:rsidRPr="00912C1E">
        <w:rPr>
          <w:rFonts w:ascii="Times New Roman" w:hAnsi="Times New Roman" w:cs="Times New Roman"/>
          <w:sz w:val="24"/>
          <w:szCs w:val="24"/>
        </w:rPr>
        <w:t xml:space="preserve"> M.R. enunciated that as far as possible the claims must be so construed as to give an effective meaning to each of them, but the specification and the claims must be looked at and construed together. Hence it was pointed </w:t>
      </w:r>
      <w:r w:rsidRPr="00912C1E">
        <w:rPr>
          <w:rFonts w:ascii="Times New Roman" w:hAnsi="Times New Roman" w:cs="Times New Roman"/>
          <w:sz w:val="24"/>
          <w:szCs w:val="24"/>
        </w:rPr>
        <w:lastRenderedPageBreak/>
        <w:t xml:space="preserve">out that the present patent discloses only on the preparation of high drug load comprising Compound I but the aim of the invention was never on the solving the problems like achieving the lower friability and high abrasive resistance. This approach is very clear when one looks at the claim 1 of the present patent wherein it teaches a known process of wet granulation to prepare the tablets that contain 30% to 80% of Compound I. Compound I including its crystalline forms and salts further the excipients and the so called wet granulation process have been explained. Specification is also silent on how the patentee’s attributes of low friability and high abrasive resistance have been achieved. Further it was argued that the disclosure of the patentee about the problems of preparing the high drug load tablet with respect to physical attributes such as lack of flexibility in using the excipients is unfounded as prior art teaches the solution for such problems. The opponent has referred to second paragraph of page 34 of D1 and stated that D1 teaches the combination drug wherein one of the active drug is Compound I of the present invention and such pharmaceutical compositions comprising from approximately 0.0001% to approximately 90% of any component (a) and/or (b), dosage forms that are in single dosage form preferably comprise from approximately 10% to approximately 90% of component (a) or (b) and dosage forms that are not in single dosage form preferably comprise from approximately 10% to approximately 60% of each component. Therefore a tablet of D1 can comprise larger amount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and a relative smaller amount of another ingredient and the tablets are prepared in the conventional methods including the wet granulation method followed by compression. The excipients and other ingredients are selected from known lists which are the same as of the patentee. Hence the preparation of high drug load tablet as alleged by the patentee is obvious. Referring to D2 the agent for the opponent has argued that D2 teaches the crystal forms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and the use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monomesylate</w:t>
      </w:r>
      <w:proofErr w:type="spellEnd"/>
      <w:r w:rsidRPr="00912C1E">
        <w:rPr>
          <w:rFonts w:ascii="Times New Roman" w:hAnsi="Times New Roman" w:cs="Times New Roman"/>
          <w:sz w:val="24"/>
          <w:szCs w:val="24"/>
        </w:rPr>
        <w:t xml:space="preserve"> salt as the active ingredient. It was further argued that D2 teaches the dosage forms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salt, for that the attention was drawn to the last lines of the first paragraph of page 17 of D2 wherein it is stated, thus “Depending on species, age, individual condition, mode of administration and the clinical picture in question, effective doses, for example daily doses of about 1-2500 mg, preferably 1-1000 mg, especially 5-500 mg, are administered to warm blooded animals of about 70 kg bodyweight.” Examples 4 and 5 of D2 teach a tablet and capsule formulation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comprising about 20% and about 30% of the active respectively. It was argued that as per the disclosure at page 17 of D2 the tablet preparations include the use of excipients such as binders, lubricants, and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among others. It was further argued that D2 further teaches that the dosage forms are prepared by means of conventional mixing, granulating, coating, dissolving or lyophilizing processes and contain from about 1% to 100%, especially from about 1% to about 20% of the active substance. Hence it was argued that with the prior knowledge of D1 and D2 the person skilled in the art seeking to prepare tablets having high load would naturally try routinely used methods. Therefore the present patent lacks inventive activity. Furthermore, as evident from prosecution history in view of D1 and D2 the patentee gave up its product claims and amended to process claims, clearly demonstrating that the alleged invention of the impugned patent as admitted by the patentee during the prosecution of the afore said patent is that it is only concerned with the process. The documents D1 and D2 ought to be read as whole which clearly teaches that conventional methods can be used when desiring to prepare a particular </w:t>
      </w:r>
      <w:r w:rsidRPr="00912C1E">
        <w:rPr>
          <w:rFonts w:ascii="Times New Roman" w:hAnsi="Times New Roman" w:cs="Times New Roman"/>
          <w:sz w:val="24"/>
          <w:szCs w:val="24"/>
        </w:rPr>
        <w:lastRenderedPageBreak/>
        <w:t>dosage form in which granulation is included i.e. gives options to prepare from low to high dosage and low dosage forms. Further, from a number of prior art documents a convenient wet granulation method would have to be used when making high dosage high drug load tablets is evident. With reference to D3 the agent for the opponent has stated that the aim of the D3 teaching is to prepare a high drug load tablet so as to achieve the administration of a single tablet as a single dose. Lines 39 to 44 at column 3 and lines 39 to 46 at column 6 of D3 teach the selection and use of excipients. It was argued that the amounts of the excipients of D3 overlaps with the amount ranges of the excipients used in the present invention. Thus the method for preparing improved tablets as taught in D3 motivates the person skilled in the art to the process of making the high drug load tablet of the patentee. Referring to the bridging paragraph of column 2 and 3 of D3 which stated thus “At this point it should be observed that when the amount of active matter per tablet is small the pharmacologically inert materials conventionally might well include what are here described as bulking agents, that is to say filler type materials which serve no function except to bulk out the mixture so as to make the tablets of adequate size, but this is not the kind of situation with which this invention is primarily concerned, and thus mere bulking agents are not intended to be included in the term ‘tableting aids’ as used herein”, the agent for the opponent has stated that one can infer from the said reference that when increasing the active material or reducing tablet size those excipients which are not necessary and lose their purpose can be reduced or excluded. Further it was stated that patentee has never stated any prior art wherein the swallowing of tablets is difficult. Further it was stated that the disclosure never referred that wet granulation process is mandatory to carry out the present invention, in other words ‘direct compression’ or any other ‘suitable method’ can be followed. Hence invention is not process specific thus leading to the obviousness of the process as claimed herein. Further D3 also teaches about the sizes of the tablets under the caption “Information disclosure statement” in column 1 wherein it is stated that there is a room for debate as to what precisely is the absolute maximum “</w:t>
      </w:r>
      <w:proofErr w:type="spellStart"/>
      <w:r w:rsidRPr="00912C1E">
        <w:rPr>
          <w:rFonts w:ascii="Times New Roman" w:hAnsi="Times New Roman" w:cs="Times New Roman"/>
          <w:sz w:val="24"/>
          <w:szCs w:val="24"/>
        </w:rPr>
        <w:t>swallowable</w:t>
      </w:r>
      <w:proofErr w:type="spellEnd"/>
      <w:r w:rsidRPr="00912C1E">
        <w:rPr>
          <w:rFonts w:ascii="Times New Roman" w:hAnsi="Times New Roman" w:cs="Times New Roman"/>
          <w:sz w:val="24"/>
          <w:szCs w:val="24"/>
        </w:rPr>
        <w:t>” size of tablet, which must depend on the shape of the tablet and on the individual who is to swallow it. It is considered that the absolute maximum “</w:t>
      </w:r>
      <w:proofErr w:type="spellStart"/>
      <w:r w:rsidRPr="00912C1E">
        <w:rPr>
          <w:rFonts w:ascii="Times New Roman" w:hAnsi="Times New Roman" w:cs="Times New Roman"/>
          <w:sz w:val="24"/>
          <w:szCs w:val="24"/>
        </w:rPr>
        <w:t>swallowable</w:t>
      </w:r>
      <w:proofErr w:type="spellEnd"/>
      <w:r w:rsidRPr="00912C1E">
        <w:rPr>
          <w:rFonts w:ascii="Times New Roman" w:hAnsi="Times New Roman" w:cs="Times New Roman"/>
          <w:sz w:val="24"/>
          <w:szCs w:val="24"/>
        </w:rPr>
        <w:t xml:space="preserve">” size of tablet can be set at a weight of not more than 1200 milligrams; and many might choose to set it much lower at a weight of not more than say about 850 milligrams. The “size” of the tablets that are produced is conventionally defined by </w:t>
      </w:r>
      <w:proofErr w:type="spellStart"/>
      <w:r w:rsidRPr="00912C1E">
        <w:rPr>
          <w:rFonts w:ascii="Times New Roman" w:hAnsi="Times New Roman" w:cs="Times New Roman"/>
          <w:sz w:val="24"/>
          <w:szCs w:val="24"/>
        </w:rPr>
        <w:t>tabletters</w:t>
      </w:r>
      <w:proofErr w:type="spellEnd"/>
      <w:r w:rsidRPr="00912C1E">
        <w:rPr>
          <w:rFonts w:ascii="Times New Roman" w:hAnsi="Times New Roman" w:cs="Times New Roman"/>
          <w:sz w:val="24"/>
          <w:szCs w:val="24"/>
        </w:rPr>
        <w:t xml:space="preserve"> in terms not of their bulk but of their weight. Therefore any tablet which is to be swallowed must accommodate all its ingredients, not only the active matter but also every other necessary or desirable type of ingredient, within that weight limit”. Quoting to the above the agent for the opponent has stated the prior art teaches about the preparation of smaller size tablets. Hence there is no inventive step in the preparation of smaller sized tablet as claimed by the patentee. The agent for the opponent stated that the wet-granulation for the preparation of tablets is very old and most preferred technique. This is justified owing to the publication of D8 which is a part of text book which relates exclusively to tablets. It was pointed out that at page 156 of D8 it was clearly taught that microcrystalline cellulose when added to the wet granulation improves bonding on compression and reduces capping and friability of tablet. Therefore it was argued that use of microcrystalline cellulose as a primary binder in the present invention is known to reduce friability of the tablets. Further attention was drawn to sub-paragraph 2 of paragraph 8 of page 149 of D8 which states thus, “Drugs having a high dosage and poor flow </w:t>
      </w:r>
      <w:r w:rsidRPr="00912C1E">
        <w:rPr>
          <w:rFonts w:ascii="Times New Roman" w:hAnsi="Times New Roman" w:cs="Times New Roman"/>
          <w:sz w:val="24"/>
          <w:szCs w:val="24"/>
        </w:rPr>
        <w:lastRenderedPageBreak/>
        <w:t xml:space="preserve">and/or compressibility must be granulated by the wet method to obtain suitable flow and cohesion for compression. In this case, the proportion of the binder required to impart adequate compressibility and flow is much less than that of the dry binder needed to produce a tablet-by-direct compression”, therefore the agent for the opponent has stated D8 teaches about the selection of wet granulation process for the preparation of high drug load tablet. Similarly the sub-paragraph 7 of paragraph 8 of D8 which states that the dissolution rate of an insoluble drug may be improved by wet granulation with the proper choice of solvent and binder. The agent for the opponent has further referred to the last sentence under the caption, marked as ‘C’ *Limitations of wet granulation+ in page 151 of D8 which reads thus, “The method [wet granulation method]is also singular for use in the granulation of drugs having a high dosage where direct compression, because of the necessity, to add a considerable amount of filler to facilitate compaction, becomes unfeasible because of the resulting increase in tablet size” and concluded that wet granulation process is an automatic choice for the preparation of high drug load tablet. Hence the clear and unmistakable teachings of D8 provide an impetus to try such method of wet granulation to prepare the high drug load tablets. D6 and D7 also teach the preference of wet granulation technique for the preparation of tablets because of the advantages associated with wet granulation. Therefore for a person skilled in the art with the understandings of D3, D6, D7 and D8 would come to conclusion of the alleged invention of the patentee. According to the agent for the opponent D4 faces problems associated with the large size of the tablet and therefore the process as disclosed in D4 involves wet granulation for producing tablets containing high levels of ascorbic acid which are small in size and light in weight having outstanding physical characteristics and properties. According to the agent for the opponent D5 teaches the method of wet granulation technique for the preparation of tablets with higher levels of actives wherein the active herein is ibuprofen. Drawing the attention to lines 17 to 22 of D5 wherein it was shown that the formulation thus prepared has high hardness, short disintegration time and fast dissolution rate without being unacceptably friable. Referring to the Reply Statement of the Patentee wherein it is stated by the Patentee that the teachings of D4 and D5 are not applicable as they relate to different actives, the agent for the opponent has stated that the opponent has merely relied on D4 and D5 to indicate the general knowledge in the art of the problems of the preparation of high drug load tablets using the wet granulation process. Furthermore it was stated that from the properties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identified in the prior art there does not appear to be any reason for non-use of conventional wet granulation and in fact the impugned specification also does not disclose anything contrary. Referring to the statement of D6 reproduced from column 1 of page 1615 herein; “Tablets remain popular as a dosage form because of the advantages afforded both to the manufacturer (</w:t>
      </w:r>
      <w:proofErr w:type="spellStart"/>
      <w:r w:rsidRPr="00912C1E">
        <w:rPr>
          <w:rFonts w:ascii="Times New Roman" w:hAnsi="Times New Roman" w:cs="Times New Roman"/>
          <w:sz w:val="24"/>
          <w:szCs w:val="24"/>
        </w:rPr>
        <w:t>eg</w:t>
      </w:r>
      <w:proofErr w:type="spellEnd"/>
      <w:r w:rsidRPr="00912C1E">
        <w:rPr>
          <w:rFonts w:ascii="Times New Roman" w:hAnsi="Times New Roman" w:cs="Times New Roman"/>
          <w:sz w:val="24"/>
          <w:szCs w:val="24"/>
        </w:rPr>
        <w:t xml:space="preserve"> simplicity and economy of preparation, stability and convenience in packaging, shipping and dispensing) and the patient (e.g., accuracy of dosage, compactness, portability, blandness of taste and ease of administration)”, the agent for the opponent has stated that the prior art teaches the preference of tablets to any other form and therefore a person skilled in the art will be motivated towards the preparation of tablets and hence the alleged process of the impugned patent is in the same direction of thought thus lacks any inventiveness. Refuting the allegation made by the patentee on ‘hindsight’ of the opponent, the agent for the opponent has referred to the decision of the United States Court of Customs and Patent Appeals;443F.2d 1391 wherein it </w:t>
      </w:r>
      <w:r w:rsidRPr="00912C1E">
        <w:rPr>
          <w:rFonts w:ascii="Times New Roman" w:hAnsi="Times New Roman" w:cs="Times New Roman"/>
          <w:sz w:val="24"/>
          <w:szCs w:val="24"/>
        </w:rPr>
        <w:lastRenderedPageBreak/>
        <w:t xml:space="preserve">is stated thus, “Any judgment on obviousness is in a sense necessarily a reconstruction based upon hindsight reasoning, but so long as it takes into account only knowledge which was within the level of ordinary skill at the time the claimed invention was made and does not include knowledge gleaned only from applicant’s disclosure, such a reconstruction is proper”. Though the agent for the opponent has not depended much on D7 but it is noted that D7 is understandably refers to ‘Tablets’, types of tablets such as Effervescent tablets, Chewable tablets, Sublingual and </w:t>
      </w:r>
      <w:proofErr w:type="spellStart"/>
      <w:r w:rsidRPr="00912C1E">
        <w:rPr>
          <w:rFonts w:ascii="Times New Roman" w:hAnsi="Times New Roman" w:cs="Times New Roman"/>
          <w:sz w:val="24"/>
          <w:szCs w:val="24"/>
        </w:rPr>
        <w:t>buccal</w:t>
      </w:r>
      <w:proofErr w:type="spellEnd"/>
      <w:r w:rsidRPr="00912C1E">
        <w:rPr>
          <w:rFonts w:ascii="Times New Roman" w:hAnsi="Times New Roman" w:cs="Times New Roman"/>
          <w:sz w:val="24"/>
          <w:szCs w:val="24"/>
        </w:rPr>
        <w:t xml:space="preserve"> tablets, Implants [type of tablets without excipients], Multilayer tablets, Sustained release tablets etc., their preparation and also D7 refers to excipients and their effects both on the preparation of the tablets and on the properties of the tablets. This document also refers to wet granulation process and the advantages associated. Comparing the teachings of D1 to D8 the agent for the opponent has stated that none of the claims of the patentee can stand valid for patent. It was stated that the granted Claim 1 involves no inventive step in view of the general teaching of the art D4, D6 and D8 in combination with methods used in D1, D2, D3 and D5 for the preparation of tablets. The opponent states that the process steps of claim 1 followed are the basic steps followed in all wet granulation method and involve no inventive activity. It is further stated that the amount of the binder and the other excipients present in the formulation also involve no inventive step as similar excipients have been used in similar amounts. Regarding the coating of the tablet as claimed in claim 2 is according to the patentee </w:t>
      </w:r>
      <w:proofErr w:type="gramStart"/>
      <w:r w:rsidRPr="00912C1E">
        <w:rPr>
          <w:rFonts w:ascii="Times New Roman" w:hAnsi="Times New Roman" w:cs="Times New Roman"/>
          <w:sz w:val="24"/>
          <w:szCs w:val="24"/>
        </w:rPr>
        <w:t>is</w:t>
      </w:r>
      <w:proofErr w:type="gramEnd"/>
      <w:r w:rsidRPr="00912C1E">
        <w:rPr>
          <w:rFonts w:ascii="Times New Roman" w:hAnsi="Times New Roman" w:cs="Times New Roman"/>
          <w:sz w:val="24"/>
          <w:szCs w:val="24"/>
        </w:rPr>
        <w:t xml:space="preserve"> optional feature and hence no inventive step can be acknowledged for this optional feature. The claims 3 and 4 are regarding the selection of a polymorph form of Compound I and the said selection cannot be considered as inventive because the properties and the benefits of such selection are known in the prior art. D2 which is the patentee’s patent wherein it is disclosed that when beta crystal form of the </w:t>
      </w:r>
      <w:proofErr w:type="spellStart"/>
      <w:r w:rsidRPr="00912C1E">
        <w:rPr>
          <w:rFonts w:ascii="Times New Roman" w:hAnsi="Times New Roman" w:cs="Times New Roman"/>
          <w:sz w:val="24"/>
          <w:szCs w:val="24"/>
        </w:rPr>
        <w:t>methanesulfonic</w:t>
      </w:r>
      <w:proofErr w:type="spellEnd"/>
      <w:r w:rsidRPr="00912C1E">
        <w:rPr>
          <w:rFonts w:ascii="Times New Roman" w:hAnsi="Times New Roman" w:cs="Times New Roman"/>
          <w:sz w:val="24"/>
          <w:szCs w:val="24"/>
        </w:rPr>
        <w:t xml:space="preserve"> acid addition salt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is used exhibits greater stability thus is expected and goes on the disclose in respect of the beta crystal that it has the further advantage of processing and storing. The remaining claims 5 to 11 are related to the excipients and their proportions which once again is a mere selection and the ranges are known. In view of D3 it is obvious to select the excipients and its ranges for the formulation hence inventive skill is absent in the claims 5 to 11. Though the claim 12 recites the preferred amount of the active such amounts have been disclosed in D1 and D2. Therefore such amounts can be easily contemplated by a person skilled in the art which in other words claim 12 is not inventive. The claim 13 is a product by process claim wherein the claim relates to a tablet which is the result of non-inventive claims. Hence claim 13 cannot be considered as inventive. With reference to the patentee’s reliance on US 5521184 that this document teaches the capsules of high drug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which is up to 90%, it is submitted that the selection of obvious alternative solution cannot be construed as adding any inventive merit. The expert </w:t>
      </w:r>
      <w:proofErr w:type="spellStart"/>
      <w:r w:rsidRPr="00912C1E">
        <w:rPr>
          <w:rFonts w:ascii="Times New Roman" w:hAnsi="Times New Roman" w:cs="Times New Roman"/>
          <w:sz w:val="24"/>
          <w:szCs w:val="24"/>
        </w:rPr>
        <w:t>Mr</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Adibhatla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Kalisatya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Bhujanga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Rao</w:t>
      </w:r>
      <w:proofErr w:type="spellEnd"/>
      <w:r w:rsidRPr="00912C1E">
        <w:rPr>
          <w:rFonts w:ascii="Times New Roman" w:hAnsi="Times New Roman" w:cs="Times New Roman"/>
          <w:sz w:val="24"/>
          <w:szCs w:val="24"/>
        </w:rPr>
        <w:t xml:space="preserve"> in his affidavit has stated that the impugned invention is obvious and lacks inventive step for the following reasons:</w:t>
      </w:r>
    </w:p>
    <w:p w:rsidR="00912C1E" w:rsidRPr="00912C1E" w:rsidRDefault="00912C1E" w:rsidP="00260553">
      <w:pPr>
        <w:pStyle w:val="ListParagraph"/>
        <w:numPr>
          <w:ilvl w:val="0"/>
          <w:numId w:val="2"/>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Though the novelty issue is not raised the patentee has merely contrived a formulation, for patient compliance, using the known method of wet granulation. </w:t>
      </w:r>
    </w:p>
    <w:p w:rsidR="00912C1E" w:rsidRPr="00912C1E" w:rsidRDefault="00912C1E" w:rsidP="00260553">
      <w:pPr>
        <w:pStyle w:val="ListParagraph"/>
        <w:numPr>
          <w:ilvl w:val="0"/>
          <w:numId w:val="1"/>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 high drug load tablet composition can be </w:t>
      </w:r>
      <w:proofErr w:type="spellStart"/>
      <w:r w:rsidRPr="00912C1E">
        <w:rPr>
          <w:rFonts w:ascii="Times New Roman" w:hAnsi="Times New Roman" w:cs="Times New Roman"/>
          <w:sz w:val="24"/>
          <w:szCs w:val="24"/>
        </w:rPr>
        <w:t>optimised</w:t>
      </w:r>
      <w:proofErr w:type="spellEnd"/>
      <w:r w:rsidRPr="00912C1E">
        <w:rPr>
          <w:rFonts w:ascii="Times New Roman" w:hAnsi="Times New Roman" w:cs="Times New Roman"/>
          <w:sz w:val="24"/>
          <w:szCs w:val="24"/>
        </w:rPr>
        <w:t xml:space="preserve"> by the person skilled in the art.</w:t>
      </w:r>
    </w:p>
    <w:p w:rsidR="00912C1E" w:rsidRPr="00912C1E" w:rsidRDefault="00912C1E" w:rsidP="00260553">
      <w:pPr>
        <w:pStyle w:val="ListParagraph"/>
        <w:numPr>
          <w:ilvl w:val="0"/>
          <w:numId w:val="1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Agreed with the contents of the Full Written Statement and Evidences filed by the opponent and the teachings of the cited documents together teaches the existence </w:t>
      </w:r>
      <w:r w:rsidRPr="00912C1E">
        <w:rPr>
          <w:rFonts w:ascii="Times New Roman" w:hAnsi="Times New Roman" w:cs="Times New Roman"/>
          <w:sz w:val="24"/>
          <w:szCs w:val="24"/>
        </w:rPr>
        <w:lastRenderedPageBreak/>
        <w:t xml:space="preserve">of high drug load tablets and their </w:t>
      </w:r>
      <w:proofErr w:type="spellStart"/>
      <w:r w:rsidRPr="00912C1E">
        <w:rPr>
          <w:rFonts w:ascii="Times New Roman" w:hAnsi="Times New Roman" w:cs="Times New Roman"/>
          <w:sz w:val="24"/>
          <w:szCs w:val="24"/>
        </w:rPr>
        <w:t>optimisation</w:t>
      </w:r>
      <w:proofErr w:type="spellEnd"/>
      <w:r w:rsidRPr="00912C1E">
        <w:rPr>
          <w:rFonts w:ascii="Times New Roman" w:hAnsi="Times New Roman" w:cs="Times New Roman"/>
          <w:sz w:val="24"/>
          <w:szCs w:val="24"/>
        </w:rPr>
        <w:t xml:space="preserve"> in the selection of ingredients and their ranges and the best method of preparation is wet granulation. Therefore the patentee’s alleged invention is a result of routine experimentation.</w:t>
      </w:r>
    </w:p>
    <w:p w:rsidR="00912C1E" w:rsidRPr="00912C1E" w:rsidRDefault="00912C1E" w:rsidP="00260553">
      <w:pPr>
        <w:pStyle w:val="ListParagraph"/>
        <w:numPr>
          <w:ilvl w:val="0"/>
          <w:numId w:val="13"/>
        </w:numPr>
        <w:spacing w:after="0"/>
        <w:jc w:val="both"/>
        <w:rPr>
          <w:rFonts w:ascii="Times New Roman" w:hAnsi="Times New Roman" w:cs="Times New Roman"/>
          <w:sz w:val="24"/>
          <w:szCs w:val="24"/>
        </w:rPr>
      </w:pPr>
      <w:r w:rsidRPr="00912C1E">
        <w:rPr>
          <w:rFonts w:ascii="Times New Roman" w:hAnsi="Times New Roman" w:cs="Times New Roman"/>
          <w:sz w:val="24"/>
          <w:szCs w:val="24"/>
        </w:rPr>
        <w:t>Excipients and their ranges as used in the impugned invention overlaps with the prior art citation D3 which is provided as hereunder;</w:t>
      </w:r>
    </w:p>
    <w:tbl>
      <w:tblPr>
        <w:tblStyle w:val="TableGrid"/>
        <w:tblW w:w="0" w:type="auto"/>
        <w:tblInd w:w="1080" w:type="dxa"/>
        <w:tblLook w:val="04A0" w:firstRow="1" w:lastRow="0" w:firstColumn="1" w:lastColumn="0" w:noHBand="0" w:noVBand="1"/>
      </w:tblPr>
      <w:tblGrid>
        <w:gridCol w:w="2750"/>
        <w:gridCol w:w="2700"/>
        <w:gridCol w:w="2713"/>
      </w:tblGrid>
      <w:tr w:rsidR="00912C1E" w:rsidRPr="00912C1E" w:rsidTr="00912C1E">
        <w:tc>
          <w:tcPr>
            <w:tcW w:w="3192" w:type="dxa"/>
          </w:tcPr>
          <w:p w:rsidR="00912C1E" w:rsidRPr="00912C1E" w:rsidRDefault="00912C1E" w:rsidP="00912C1E">
            <w:pPr>
              <w:pStyle w:val="ListParagraph"/>
              <w:ind w:left="0"/>
              <w:jc w:val="both"/>
              <w:rPr>
                <w:rFonts w:ascii="Times New Roman" w:hAnsi="Times New Roman" w:cs="Times New Roman"/>
                <w:sz w:val="24"/>
                <w:szCs w:val="24"/>
              </w:rPr>
            </w:pPr>
            <w:r w:rsidRPr="00912C1E">
              <w:rPr>
                <w:rFonts w:ascii="Times New Roman" w:hAnsi="Times New Roman" w:cs="Times New Roman"/>
                <w:sz w:val="24"/>
                <w:szCs w:val="24"/>
              </w:rPr>
              <w:t>Excipients (w/w)</w:t>
            </w:r>
          </w:p>
        </w:tc>
        <w:tc>
          <w:tcPr>
            <w:tcW w:w="3192" w:type="dxa"/>
          </w:tcPr>
          <w:p w:rsidR="00912C1E" w:rsidRPr="00912C1E" w:rsidRDefault="00912C1E" w:rsidP="00912C1E">
            <w:pPr>
              <w:pStyle w:val="ListParagraph"/>
              <w:ind w:left="0"/>
              <w:jc w:val="both"/>
              <w:rPr>
                <w:rFonts w:ascii="Times New Roman" w:hAnsi="Times New Roman" w:cs="Times New Roman"/>
                <w:sz w:val="24"/>
                <w:szCs w:val="24"/>
              </w:rPr>
            </w:pPr>
            <w:r w:rsidRPr="00912C1E">
              <w:rPr>
                <w:rFonts w:ascii="Times New Roman" w:hAnsi="Times New Roman" w:cs="Times New Roman"/>
                <w:sz w:val="24"/>
                <w:szCs w:val="24"/>
              </w:rPr>
              <w:t>D3 (US 4562024)</w:t>
            </w:r>
          </w:p>
        </w:tc>
        <w:tc>
          <w:tcPr>
            <w:tcW w:w="3192" w:type="dxa"/>
          </w:tcPr>
          <w:p w:rsidR="00912C1E" w:rsidRPr="00912C1E" w:rsidRDefault="00912C1E" w:rsidP="00912C1E">
            <w:pPr>
              <w:pStyle w:val="ListParagraph"/>
              <w:ind w:left="0"/>
              <w:jc w:val="both"/>
              <w:rPr>
                <w:rFonts w:ascii="Times New Roman" w:hAnsi="Times New Roman" w:cs="Times New Roman"/>
                <w:sz w:val="24"/>
                <w:szCs w:val="24"/>
              </w:rPr>
            </w:pPr>
            <w:r w:rsidRPr="00912C1E">
              <w:rPr>
                <w:rFonts w:ascii="Times New Roman" w:hAnsi="Times New Roman" w:cs="Times New Roman"/>
                <w:sz w:val="24"/>
                <w:szCs w:val="24"/>
              </w:rPr>
              <w:t>Impugned patent (IN 237489)</w:t>
            </w:r>
          </w:p>
        </w:tc>
      </w:tr>
      <w:tr w:rsidR="00912C1E" w:rsidRPr="00912C1E" w:rsidTr="00912C1E">
        <w:tc>
          <w:tcPr>
            <w:tcW w:w="3192" w:type="dxa"/>
          </w:tcPr>
          <w:p w:rsidR="00912C1E" w:rsidRPr="00912C1E" w:rsidRDefault="00912C1E" w:rsidP="00912C1E">
            <w:pPr>
              <w:pStyle w:val="ListParagraph"/>
              <w:ind w:left="0"/>
              <w:jc w:val="both"/>
              <w:rPr>
                <w:rFonts w:ascii="Times New Roman" w:hAnsi="Times New Roman" w:cs="Times New Roman"/>
                <w:sz w:val="24"/>
                <w:szCs w:val="24"/>
              </w:rPr>
            </w:pPr>
            <w:r w:rsidRPr="00912C1E">
              <w:rPr>
                <w:rFonts w:ascii="Times New Roman" w:hAnsi="Times New Roman" w:cs="Times New Roman"/>
                <w:sz w:val="24"/>
                <w:szCs w:val="24"/>
              </w:rPr>
              <w:t>Binder</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2-10%</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1-25%</w:t>
            </w:r>
          </w:p>
        </w:tc>
      </w:tr>
      <w:tr w:rsidR="00912C1E" w:rsidRPr="00912C1E" w:rsidTr="00912C1E">
        <w:tc>
          <w:tcPr>
            <w:tcW w:w="3192" w:type="dxa"/>
          </w:tcPr>
          <w:p w:rsidR="00912C1E" w:rsidRPr="00912C1E" w:rsidRDefault="00912C1E" w:rsidP="00912C1E">
            <w:pPr>
              <w:pStyle w:val="ListParagraph"/>
              <w:ind w:left="0"/>
              <w:jc w:val="both"/>
              <w:rPr>
                <w:rFonts w:ascii="Times New Roman" w:hAnsi="Times New Roman" w:cs="Times New Roman"/>
                <w:sz w:val="24"/>
                <w:szCs w:val="24"/>
              </w:rPr>
            </w:pPr>
            <w:proofErr w:type="spellStart"/>
            <w:r w:rsidRPr="00912C1E">
              <w:rPr>
                <w:rFonts w:ascii="Times New Roman" w:hAnsi="Times New Roman" w:cs="Times New Roman"/>
                <w:sz w:val="24"/>
                <w:szCs w:val="24"/>
              </w:rPr>
              <w:t>Glidant</w:t>
            </w:r>
            <w:proofErr w:type="spellEnd"/>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0.2-10%</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0.5-3%</w:t>
            </w:r>
          </w:p>
        </w:tc>
      </w:tr>
      <w:tr w:rsidR="00912C1E" w:rsidRPr="00912C1E" w:rsidTr="00912C1E">
        <w:tc>
          <w:tcPr>
            <w:tcW w:w="3192" w:type="dxa"/>
          </w:tcPr>
          <w:p w:rsidR="00912C1E" w:rsidRPr="00912C1E" w:rsidRDefault="00912C1E" w:rsidP="00912C1E">
            <w:pPr>
              <w:pStyle w:val="ListParagraph"/>
              <w:ind w:left="0"/>
              <w:jc w:val="both"/>
              <w:rPr>
                <w:rFonts w:ascii="Times New Roman" w:hAnsi="Times New Roman" w:cs="Times New Roman"/>
                <w:sz w:val="24"/>
                <w:szCs w:val="24"/>
              </w:rPr>
            </w:pPr>
            <w:r w:rsidRPr="00912C1E">
              <w:rPr>
                <w:rFonts w:ascii="Times New Roman" w:hAnsi="Times New Roman" w:cs="Times New Roman"/>
                <w:sz w:val="24"/>
                <w:szCs w:val="24"/>
              </w:rPr>
              <w:t>Lubricant</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0.2-4%</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0.5-2%</w:t>
            </w:r>
          </w:p>
        </w:tc>
      </w:tr>
      <w:tr w:rsidR="00912C1E" w:rsidRPr="00912C1E" w:rsidTr="00912C1E">
        <w:tc>
          <w:tcPr>
            <w:tcW w:w="3192" w:type="dxa"/>
          </w:tcPr>
          <w:p w:rsidR="00912C1E" w:rsidRPr="00912C1E" w:rsidRDefault="00912C1E" w:rsidP="00912C1E">
            <w:pPr>
              <w:pStyle w:val="ListParagraph"/>
              <w:ind w:left="0"/>
              <w:jc w:val="both"/>
              <w:rPr>
                <w:rFonts w:ascii="Times New Roman" w:hAnsi="Times New Roman" w:cs="Times New Roman"/>
                <w:sz w:val="24"/>
                <w:szCs w:val="24"/>
              </w:rPr>
            </w:pPr>
            <w:proofErr w:type="spellStart"/>
            <w:r w:rsidRPr="00912C1E">
              <w:rPr>
                <w:rFonts w:ascii="Times New Roman" w:hAnsi="Times New Roman" w:cs="Times New Roman"/>
                <w:sz w:val="24"/>
                <w:szCs w:val="24"/>
              </w:rPr>
              <w:t>disintegrant</w:t>
            </w:r>
            <w:proofErr w:type="spellEnd"/>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2-10%</w:t>
            </w:r>
          </w:p>
        </w:tc>
        <w:tc>
          <w:tcPr>
            <w:tcW w:w="3192" w:type="dxa"/>
          </w:tcPr>
          <w:p w:rsidR="00912C1E" w:rsidRPr="00912C1E" w:rsidRDefault="00912C1E" w:rsidP="00912C1E">
            <w:pPr>
              <w:pStyle w:val="ListParagraph"/>
              <w:ind w:left="0"/>
              <w:jc w:val="center"/>
              <w:rPr>
                <w:rFonts w:ascii="Times New Roman" w:hAnsi="Times New Roman" w:cs="Times New Roman"/>
                <w:sz w:val="24"/>
                <w:szCs w:val="24"/>
              </w:rPr>
            </w:pPr>
            <w:r w:rsidRPr="00912C1E">
              <w:rPr>
                <w:rFonts w:ascii="Times New Roman" w:hAnsi="Times New Roman" w:cs="Times New Roman"/>
                <w:sz w:val="24"/>
                <w:szCs w:val="24"/>
              </w:rPr>
              <w:t>10-35%</w:t>
            </w:r>
          </w:p>
        </w:tc>
      </w:tr>
    </w:tbl>
    <w:p w:rsidR="00912C1E" w:rsidRPr="00912C1E" w:rsidRDefault="00912C1E" w:rsidP="00912C1E">
      <w:pPr>
        <w:pStyle w:val="ListParagraph"/>
        <w:spacing w:after="0"/>
        <w:ind w:left="108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amount of excipients which according to the patentee cannot be achieved easily completely overlaps with the ranges taught in D3. Therefore, the patentee’s contention that determination of the appropriate amounts of excipients involves undue experimentation is completely baseless and unfounded. The specification clearly states that the selection of amounts of excipients can be done by routine experimentation. v) D4 solves the problem by providing tablets which are small in size and have light weight such tablets are prepared by wet granulation. I also say that D4 teaches that the tablets have improved disintegration properties implying that tablets may have better dissolution properties. vi) Tablets prepared according to D5 </w:t>
      </w:r>
      <w:proofErr w:type="gramStart"/>
      <w:r w:rsidRPr="00912C1E">
        <w:rPr>
          <w:rFonts w:ascii="Times New Roman" w:hAnsi="Times New Roman" w:cs="Times New Roman"/>
          <w:sz w:val="24"/>
          <w:szCs w:val="24"/>
        </w:rPr>
        <w:t>has</w:t>
      </w:r>
      <w:proofErr w:type="gramEnd"/>
      <w:r w:rsidRPr="00912C1E">
        <w:rPr>
          <w:rFonts w:ascii="Times New Roman" w:hAnsi="Times New Roman" w:cs="Times New Roman"/>
          <w:sz w:val="24"/>
          <w:szCs w:val="24"/>
        </w:rPr>
        <w:t xml:space="preserve"> 85% of active, prepared by wet granulation and exhibit high hardness, short disintegration time, fast dissolution rate without being unacceptably friable. vii) Patentee’s argument that the non-availability of such high drug load tablets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is not an indicator of the inventive step. viii) Patentee’s high drug load tablets are not shown with improved bioavailability and expected to be same with the prior art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tablets. ix) As admittedly argued by the patentee that capsules with high drug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are known in the prior art but not the tablets which is an obvious alternative and such contentions are of no relevance in the present case as the independent claim of the impugned patent pertains to a process and not a tablet formulation. Having proven thus the agent for the opponent has prayed that the granted patent needs to be revoked on this ground of opposition. [Section 25(2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e)]. Denying the arguments put forward by the opponent, the agent for the patentee has stated that preparations of high drug load tablets adversely affect the physical characteristics of the tablet especially the friability and abrasion resistance of the tablets. Large quantities of excipients are needed to be added in the preparation of high potency tablets which leads to the preparation of large size tablets. In the present invention, the Patentee has overcome the problem in the preparation of high drug load tablets with a relatively low amount of excipients with good stability and abrasion resistance. The present invention is concerned with the novel compositions that contain Compound I as active ingredient which are compressed into tablets that are relatively small in size with limited friability. It was stated that D1 does not teach the preparation of high drug load tablet. It teaches the preparation of a binary combination wherein each active may vary in their content as disclosed therein. The present invention is related to a high drug load small tablet wherein the excipients are present in a lower amount than needed. The tablet of the present invention has only one active ingredient. Therefore D1 does not motivate a skilled person to prepare a high drug load tablet </w:t>
      </w:r>
      <w:r w:rsidRPr="00912C1E">
        <w:rPr>
          <w:rFonts w:ascii="Times New Roman" w:hAnsi="Times New Roman" w:cs="Times New Roman"/>
          <w:sz w:val="24"/>
          <w:szCs w:val="24"/>
        </w:rPr>
        <w:lastRenderedPageBreak/>
        <w:t xml:space="preserve">comprising a single active with the benefits of lower friability and reduced abrasive resistance while using the low amount of excipients. Hence the invention is inventive. Refuting the arguments against D2 the agent for the patentee has stated that the examples of 4 and 5 of D2 teach about the tablet and capsule formulation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which are in a daily dosage form of 100 mg per tablet/capsule. But high dosage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(400-800 mg) was generally needed for the treatment of leukemia. Hence, patient has to take 4-8 tablets/capsules in order to achieve an appropriate therapeutic dose. The patentee’s invention finds a solution to the aforesaid problem and has devised a tablet containing high drug load which is not disclosed in D2. Hence the invention is inventive. Further it was stated that the preparation of high drug load tablet wherein the content of active is high and to maintain the same size of the tablet reduce the content of excipient is not as simple as being thought by the opponent. It was further stated that D2 mainly teach the preparation of a capsule rather than a tablet. As generally known capsules are not compressed and hence do not need to disintegrate whereas a tablet wherein the active ingredient is compressed and gets disintegrated before it dissolves. The excipients are used to stabilize the active. Therefore to prepare a high drug load tablet a person skilled in the art would use higher amount of excipients which necessarily leads to a bigger size of the tablet. The patentee’s invention is going in the reverse direction that is to say that a high drug load tablet is prepared with low amount of excipient and achieving or overcoming the expected problems and also possibility of preparing the small size tablets which are patient compliant. It was further stated that the Example 8of D1 and Example 4 of D2 are same, which is reproduced below; </w:t>
      </w:r>
    </w:p>
    <w:tbl>
      <w:tblPr>
        <w:tblStyle w:val="TableGrid"/>
        <w:tblW w:w="0" w:type="auto"/>
        <w:tblLook w:val="04A0" w:firstRow="1" w:lastRow="0" w:firstColumn="1" w:lastColumn="0" w:noHBand="0" w:noVBand="1"/>
      </w:tblPr>
      <w:tblGrid>
        <w:gridCol w:w="3103"/>
        <w:gridCol w:w="3070"/>
        <w:gridCol w:w="3070"/>
      </w:tblGrid>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COMPOSITION</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EXAMPLE 8 OF D1</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EXAMPLE OF d2</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Active ingredient</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100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100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Crystalline lactose</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240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240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proofErr w:type="spellStart"/>
            <w:r w:rsidRPr="00912C1E">
              <w:rPr>
                <w:rFonts w:ascii="Times New Roman" w:hAnsi="Times New Roman" w:cs="Times New Roman"/>
                <w:sz w:val="24"/>
                <w:szCs w:val="24"/>
              </w:rPr>
              <w:t>Avicel</w:t>
            </w:r>
            <w:proofErr w:type="spellEnd"/>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080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080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PVPPXL</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020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020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Aerosol</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002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002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Magnesium Stearate</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005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005 mg</w:t>
            </w:r>
          </w:p>
        </w:tc>
      </w:tr>
      <w:tr w:rsidR="00912C1E" w:rsidRPr="00912C1E" w:rsidTr="00912C1E">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 xml:space="preserve">Total </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447 mg</w:t>
            </w:r>
          </w:p>
        </w:tc>
        <w:tc>
          <w:tcPr>
            <w:tcW w:w="3192" w:type="dxa"/>
          </w:tcPr>
          <w:p w:rsidR="00912C1E" w:rsidRPr="00912C1E" w:rsidRDefault="00912C1E" w:rsidP="00912C1E">
            <w:pPr>
              <w:jc w:val="both"/>
              <w:rPr>
                <w:rFonts w:ascii="Times New Roman" w:hAnsi="Times New Roman" w:cs="Times New Roman"/>
                <w:sz w:val="24"/>
                <w:szCs w:val="24"/>
              </w:rPr>
            </w:pPr>
            <w:r w:rsidRPr="00912C1E">
              <w:rPr>
                <w:rFonts w:ascii="Times New Roman" w:hAnsi="Times New Roman" w:cs="Times New Roman"/>
                <w:sz w:val="24"/>
                <w:szCs w:val="24"/>
              </w:rPr>
              <w:t>447 mg</w:t>
            </w:r>
          </w:p>
        </w:tc>
      </w:tr>
    </w:tbl>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above example provides for a tablet form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However the same does not speak of a high drug load tablet as claimed in the instant patent. In the examples of the prior art, the total weight of the tablet will have to be 447 mg when the active ingredient is 100 mg. Whereas by using the novel process and ingredients in the subject patent the total weight is just 195 mg when the active ingredient is 119 mg. In other words, the percentage of active base is 60% of the total weight of the tablet instead of 22% of the prior art. Increasing the high drug content in the tablet without increasing the weight and size of the tablet is indeed inventive. Attention was drawn to the Examples 1 and 2 of the present specification wherein it is shown that active is 119 mg / 195 mg tablet [Example-1] &amp; the active is 478 mg / 768 mg tablet [Example-2] which shows an approximate 61% and 62% presence of active in the tablets of the invention. Therefore it was stated that neither of the D1 and D2 nor its combination can lead a person skilled in the art to conclude the teachings of the patentee. Refuting against the theory as disclosed in D3 the agent for the patentee has stated that wet granulation method is not suitable for the preparation of high drug load tablet. D3 in fact </w:t>
      </w:r>
      <w:r w:rsidRPr="00912C1E">
        <w:rPr>
          <w:rFonts w:ascii="Times New Roman" w:hAnsi="Times New Roman" w:cs="Times New Roman"/>
          <w:sz w:val="24"/>
          <w:szCs w:val="24"/>
        </w:rPr>
        <w:lastRenderedPageBreak/>
        <w:t xml:space="preserve">teaches the process for preparing granulates containing poorly compressible medicament. A skilled person would have </w:t>
      </w:r>
      <w:proofErr w:type="spellStart"/>
      <w:r w:rsidRPr="00912C1E">
        <w:rPr>
          <w:rFonts w:ascii="Times New Roman" w:hAnsi="Times New Roman" w:cs="Times New Roman"/>
          <w:sz w:val="24"/>
          <w:szCs w:val="24"/>
        </w:rPr>
        <w:t>recognised</w:t>
      </w:r>
      <w:proofErr w:type="spellEnd"/>
      <w:r w:rsidRPr="00912C1E">
        <w:rPr>
          <w:rFonts w:ascii="Times New Roman" w:hAnsi="Times New Roman" w:cs="Times New Roman"/>
          <w:sz w:val="24"/>
          <w:szCs w:val="24"/>
        </w:rPr>
        <w:t xml:space="preserve"> that wet granulation is not suitable for producing high drug load tablets in all cases. The skilled person would have </w:t>
      </w:r>
      <w:proofErr w:type="spellStart"/>
      <w:r w:rsidRPr="00912C1E">
        <w:rPr>
          <w:rFonts w:ascii="Times New Roman" w:hAnsi="Times New Roman" w:cs="Times New Roman"/>
          <w:sz w:val="24"/>
          <w:szCs w:val="24"/>
        </w:rPr>
        <w:t>recognised</w:t>
      </w:r>
      <w:proofErr w:type="spellEnd"/>
      <w:r w:rsidRPr="00912C1E">
        <w:rPr>
          <w:rFonts w:ascii="Times New Roman" w:hAnsi="Times New Roman" w:cs="Times New Roman"/>
          <w:sz w:val="24"/>
          <w:szCs w:val="24"/>
        </w:rPr>
        <w:t xml:space="preserve"> that its suitability would have been dependent on the chemical and physical properties of the active ingredient concerned. The formulation of tablet is governed by number of factors such as the drug substance involved, it’s chemical and physical properties, route of administration, the manufacturing process to be employed and the method by which the tablet is to be used. As it is not possible to predict the chemical and physical properties of the active ingredient from its structure alone, or its pharmacological properties, a full evaluation of the active ingredient’s properties must be made in order to determine a suitable method for formulation. Furthermore, it is stated that the excipients render adhesive quality needed for tablet formulation. In addition, excipient may be needed for easier administration, better absorption, and longer shelf life and so on. It is thus only a simple notion that any amount of drug load can be achieved by simply adjusting the amount of excipient in the tablet. In reality it is a complicated and challenging problem to solve as the essential or desired properties of a drug would be reduced or lost when the amount of excipient is reduced. The patentee’s invention has solved the problem of preparing high potency tablets with improved formulation thus proving the inventive step for patentability. Therefore it was prayed that the opponent’s hindsight on the analysis on lack of inventive step shall be disregarded. With respect to the reference of D8 the agent for the patentee has stated that D8 teaches about three methods for preparing the tablet granulations namely wet granulation, dry granulation and direct compression. By choosing the wet granulation technique the patentee has overcome the problem of dissolution of drugs during the wet granulation process. The dissolution of drugs would be slow if the tablet is not properly formulated and processed. Hence a person skilled in the art cannot simply choose wet granulation process for preparation of high drug load tablet. The patentee despite choosing the wet granulation method has overcome the problem of dissolution thus making the treatment very efficient. It was reiterated that wet granulation method for the preparation of a high drug load tablet is not an automatic choice as said process has some limitations. D6 and D7 teach about the wet granulation technique and the general methods of tablet preparation. High drug load tablets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are not available before the priority date because of complex issues in formulating and preparing such tablet. It is further stated that the higher the drug load the less porous the tablet gets which translates into less solubility. This feature may directly affect the bioavailability of the drug, crucially linked to efficacy of the treatment. Therefore D6 and D7 do not approach as a solution to the existing problem of preparing high drug load tablet. It was argued by the agent for the patentee that the physical and chemical properties differ from one active moiety to the other the obviousness cannot be concluded for the preparation of high drug load tablets when the actives are different. As far as D4 is concerned the D4 teaches the use of ascorbic acid as active moiety whereas the present invention deals with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as active moiety. Further D4 does not teach the preparation of high drug load tablet. Hence D4 is not comparable to the present invention and the patentee’s invention is inventive. The process of making the tablet according to the patentee’s invention cannot be compared with the process of D4. Even if the two are compared, the drug load increase in D4 is just 14% of the state of the art, whereas the subject patent increases the drug load by upwards of 40% from the existing state of the art. </w:t>
      </w:r>
      <w:r w:rsidRPr="00912C1E">
        <w:rPr>
          <w:rFonts w:ascii="Times New Roman" w:hAnsi="Times New Roman" w:cs="Times New Roman"/>
          <w:sz w:val="24"/>
          <w:szCs w:val="24"/>
        </w:rPr>
        <w:lastRenderedPageBreak/>
        <w:t xml:space="preserve">Similar arguments have been extended for D5 wherein the active moiety is Ibuprofen. Referring to the acknowledgment by the patentee in the pages 5-6 of the specification that the use of wet granulation method for the preparation of tablets is a well-known process it was stated that the problem before the patentee is not the preparation of tablets from compositions but on how to use wet granulation techniques in making tablets where the particle size of the active ingredient [100 -400 micro meters] is higher than what can be used in wet granulation techniques and further on how to increase the drug load without increasing size of the tablet for convenient administration. It was further stated that the wet granulation process can be successfully employed with the respect to the compounds that are less than 100 micro meters. Considering the particle size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the patentee had to invest considerable time and effort to evolve a novel process in order to arrive at a process whereby the wet granulation method could be adopted for the purpose of high drug load tablet. The use of wet granulation process per se only resulted in a tablet form which contained approximately 22% of the API. The subject patent relates to a high drug load tablet containing 60-80% of the API by weight of the tablet. Moreover the patentee has used the wet granulation process on a compound with the particle size of nearly 400 micro meters. Furthermore the agent for the patentee relied on the case law of the Boards of Appeal of the EPO which emphasizes in cases such as this where some elements of the invention are known individually from the prior art, the necessity to enquire what the skilled person would have done, in order to prevent impermissible ex post facto analysis. The question to be asked is whether there is any teaching in the prior art as a whole that would, not could, have prompted the skilled person, faced with the objective technical problem, to modify or adapt the closest prior art, in the hope of solving the underlying technical problem or in the expectation of some improvement or advantage, to arrive at something falling within the scope of the claimed invention. Any features that make no contribution to the technical character of the claimed invention are not taken into consideration. The question is not whether the skilled person could have carried out the invention, but whether he would have done so in the hope of solving the underlying technical problem or in the expectation of some improvement or advantage (could-would approach). So the point is not whether the skilled person could have arrived at the invention by modifying the prior art, but rather whether, in expectation of the advantages actually achieved, he would have done so because of promptings in the prior art. A skilled person aiming at increasing drug load while studying the existing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formulations would notice that every time the prior art mentioned high drug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it disclosed capsules. Every time the prior art mentioned tablets; these had a low drug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Examples of the prior art documents D1 and D2 discloses formulations of tablets comprising low drug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and capsules containing more than 50%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Referring to the examples 35 and 36 of Annexure I that discloses tablet formulations it was stated that these formulations comprises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related compounds in 14% and 18% respectively. In contrast the example 37 of Annexure –I disclose a capsule formulation comprising more than 90%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related compounds. Therefore the prior art teaches as far as the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and related compounds are concerned the most preferred form is capsule to the tablet. When the tablets of the prior art teaches around 20%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in tablet preparations and around 90% as active in the capsule formulations the skilled person would have arrived at a high drug load formulations in the form of capsule. By saying that all the claims of the present patent </w:t>
      </w:r>
      <w:r w:rsidRPr="00912C1E">
        <w:rPr>
          <w:rFonts w:ascii="Times New Roman" w:hAnsi="Times New Roman" w:cs="Times New Roman"/>
          <w:sz w:val="24"/>
          <w:szCs w:val="24"/>
        </w:rPr>
        <w:lastRenderedPageBreak/>
        <w:t xml:space="preserve">involves an inventive step the agent for the patentee has stated that the process of claim 1 is inventive that before the priority date no high drug load tablet comprising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as active moiety was available. The agent for the patentee has reiterated the above arguments to say that process is not as simple as thought. Therefore claim 1 </w:t>
      </w:r>
      <w:proofErr w:type="spellStart"/>
      <w:r w:rsidRPr="00912C1E">
        <w:rPr>
          <w:rFonts w:ascii="Times New Roman" w:hAnsi="Times New Roman" w:cs="Times New Roman"/>
          <w:sz w:val="24"/>
          <w:szCs w:val="24"/>
        </w:rPr>
        <w:t>fulfils</w:t>
      </w:r>
      <w:proofErr w:type="spellEnd"/>
      <w:r w:rsidRPr="00912C1E">
        <w:rPr>
          <w:rFonts w:ascii="Times New Roman" w:hAnsi="Times New Roman" w:cs="Times New Roman"/>
          <w:sz w:val="24"/>
          <w:szCs w:val="24"/>
        </w:rPr>
        <w:t xml:space="preserve"> the criteria of inventive step as defined in the Act. Claim 2 being dependent on claim 1 which is inventive, claim 2 </w:t>
      </w:r>
      <w:proofErr w:type="gramStart"/>
      <w:r w:rsidRPr="00912C1E">
        <w:rPr>
          <w:rFonts w:ascii="Times New Roman" w:hAnsi="Times New Roman" w:cs="Times New Roman"/>
          <w:sz w:val="24"/>
          <w:szCs w:val="24"/>
        </w:rPr>
        <w:t>is</w:t>
      </w:r>
      <w:proofErr w:type="gramEnd"/>
      <w:r w:rsidRPr="00912C1E">
        <w:rPr>
          <w:rFonts w:ascii="Times New Roman" w:hAnsi="Times New Roman" w:cs="Times New Roman"/>
          <w:sz w:val="24"/>
          <w:szCs w:val="24"/>
        </w:rPr>
        <w:t xml:space="preserve"> also inventive. Since D1 and D2 do not deal with high drug load tablets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the claims 3 and 4 are inventive. The example 4 of D2 was stated by the patentee that the said example involves addition of large amounts of lactose in their preparation whereas the present invention does not use large amounts of lactose. Hence claims 5 to 11 are inventive in nature. On the similar argument the claim 13 which is a product by process claim is also inventive when it is proven that the claims 1 to 12 are inventive. The agent for the patentee has submitted that the present patent was challenged by 9 opponents in the European Patent Office and the opposition board at EPO has concluded thus; “The Chairman of the Opposition Board announced that the Opposition Division came to the conclusion that the subject matter of claims 1-14 in the main request is novel according to Article 54 EPC.” And “The Chairman of the Opposition Board announced that the Opposition Division came to the conclusion that the subject matter of claims 1-14 in the main request is to be considered as inventive in terms of Article 56 EPC.” The entire opposition proceedings before EPO were annexed along with the Reply Statement as their evidence to prove that the invention of the patentee has been acknowledged for being Novel and Inventive over 9 opponents wherein the cited documents by the opponent and many more citations, in the present case, were discussed at length. Though the contents of the opponent’s opposition and the responses filed by the patentee and the conclusions by the Opposition Board at EPO are relevant for the conclusion in the present case [being the substantially same application before the Controller for disposal under Section 25(2) of the Act] for brevity sake the entire proceedings are not reproduced herein because the patentee’s responses to all the 9 opponents and the Minutes of the oral proceedings before the Opposition Division are available on record and obtainable for inspection. Hence only the final conclusion expressed by EPO was reproduced in the above paragraphs and it is to state that the decision taken herein with respect to the opposition in India is also based on the understanding of the opposition proceedings held before EPO. Since inventive step is questioned by the opponent, in the present opposition, I would like to reproduce few paragraphs as mentioned below and as stated in the ‘Minutes of the oral proceedings before the Opposition Division [of EPO] which according to me might have led the Opposition Division [of EPO] to conclude on the establishment of inventiveness for the subject invention in question. “The patent proprietor identified example of 4 of C1 as closest prior art. Starting from there, subsequent differences can be worked out in comparison to the contested patent; Increased quantity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Less excipients Effects disclosed in the patent which are; a) More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per tablet can be delivered b) Smaller size as mentioned in the patent, thus increased convenience of delivery of higher doses c) Increased stability with regard to friability and abrasion resistance wherein friability of tablets according to claim 1 is 0% d) Tablets according to claim 1 are bioequivalent to marketed capsules Therefore the objective technical problem was to provide a stable and efficacious oral dosage form to deliver high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doses.” “A high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in a tablet would increase the risk of early precipitation. In general it is to be regarded as difficult to formulate a large dose of an </w:t>
      </w:r>
      <w:r w:rsidRPr="00912C1E">
        <w:rPr>
          <w:rFonts w:ascii="Times New Roman" w:hAnsi="Times New Roman" w:cs="Times New Roman"/>
          <w:sz w:val="24"/>
          <w:szCs w:val="24"/>
        </w:rPr>
        <w:lastRenderedPageBreak/>
        <w:t xml:space="preserve">active ingredient in a tablet, whilst optimal absorption high in the gastrointestinal tract should be supported. Due to this necessity and the pH-dependent solubility at pH 5.5, there are good reasons to choose a capsule or more preferably a liquid solution. It is not seen as a simple question whether a high drug load tablet, particularly with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will work. For reasons of marketing </w:t>
      </w:r>
      <w:proofErr w:type="spellStart"/>
      <w:r w:rsidRPr="00912C1E">
        <w:rPr>
          <w:rFonts w:ascii="Times New Roman" w:hAnsi="Times New Roman" w:cs="Times New Roman"/>
          <w:sz w:val="24"/>
          <w:szCs w:val="24"/>
        </w:rPr>
        <w:t>authorisations</w:t>
      </w:r>
      <w:proofErr w:type="spellEnd"/>
      <w:r w:rsidRPr="00912C1E">
        <w:rPr>
          <w:rFonts w:ascii="Times New Roman" w:hAnsi="Times New Roman" w:cs="Times New Roman"/>
          <w:sz w:val="24"/>
          <w:szCs w:val="24"/>
        </w:rPr>
        <w:t xml:space="preserve">, the proof of safety and efficacy, the tablet needs to be bioequivalent to the capsules in the market. This was a surprise, since nobody could know if bioequivalence and thus pharmacokinetics comparable to the capsule could be achieved at all. This was demonstrated with the short formulation of the results in paragraph 53 of the contested patent. Achieving that goal is not obvious in relationship to a high drug load tablet. Even if the person skilled in the art thought to conceive a high drug load tablet for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according to T955/99 a good idea is not enough. The skilled person needs to work out the means for manufacturing such tablet. In principal direct compression or granulation can be chosen.” “Taking into account the opponent III’s opinion that the increase of an active agent quantity from 22.4% in a tablet up to 30% would not be great, not mean a huge increase, does not seem to be correct, as it is already a 50% increase leading to advantages of the patients.” “The patent proprietor emphasized that it would be remote to take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and prepare a high drug load tablet when starting from the available prior art. Full bioequivalence of tablets versus capsules is not obvious, but proven due to numerous publications (such as C14). Neither C1 nor C58 are sufficient for proving obviousness.” Hence it was prayed that the patentee has proven beyond doubt on the presence of inventive step, the opposition on this ground shall be dismissed. The agent for the opponent has submitted, during the hearing, certain case laws wherein “inventive step” has been explained for a better understanding which according to the opponent is helpful in the revocation of the present patent. The explanations on understanding the inventive step as provided in the case laws are reproduced herein without going to any details of the inventions that were challenged in those case laws. 1) Boards of Appeal of the EPO case number – T 0287/</w:t>
      </w:r>
      <w:proofErr w:type="gramStart"/>
      <w:r w:rsidRPr="00912C1E">
        <w:rPr>
          <w:rFonts w:ascii="Times New Roman" w:hAnsi="Times New Roman" w:cs="Times New Roman"/>
          <w:sz w:val="24"/>
          <w:szCs w:val="24"/>
        </w:rPr>
        <w:t>99 :</w:t>
      </w:r>
      <w:proofErr w:type="gramEnd"/>
      <w:r w:rsidRPr="00912C1E">
        <w:rPr>
          <w:rFonts w:ascii="Times New Roman" w:hAnsi="Times New Roman" w:cs="Times New Roman"/>
          <w:sz w:val="24"/>
          <w:szCs w:val="24"/>
        </w:rPr>
        <w:t xml:space="preserve"> According to the consistent case law of the boards of appeal when it comes to the evaluation of novelty or inventive step, the teaching of the cited document is not confined to the detailed information given in the examples of how the invention is carried out but embraces any reproducible technical teaching described in that document enabling a person skilled in the art to carry out the invention. 2) Boards of Appeal of the EPO case number – T 1034/01 – </w:t>
      </w:r>
      <w:proofErr w:type="gramStart"/>
      <w:r w:rsidRPr="00912C1E">
        <w:rPr>
          <w:rFonts w:ascii="Times New Roman" w:hAnsi="Times New Roman" w:cs="Times New Roman"/>
          <w:sz w:val="24"/>
          <w:szCs w:val="24"/>
        </w:rPr>
        <w:t>3.4.3 :</w:t>
      </w:r>
      <w:proofErr w:type="gramEnd"/>
      <w:r w:rsidRPr="00912C1E">
        <w:rPr>
          <w:rFonts w:ascii="Times New Roman" w:hAnsi="Times New Roman" w:cs="Times New Roman"/>
          <w:sz w:val="24"/>
          <w:szCs w:val="24"/>
        </w:rPr>
        <w:t xml:space="preserve"> Lack of inventive step of one alternative of an independent claim renders the whole claim not allowable. 3) United States Court of Appeals, Federal Circuit [In re John R. Klein] – Appeal on a Design Patent: The board correctly stated that the single claim covers plural alternative embodiments and that the 103 rejection is proper if the prior art demonstrates the obviousness of any one of them. 4) </w:t>
      </w:r>
      <w:proofErr w:type="spellStart"/>
      <w:r w:rsidRPr="00912C1E">
        <w:rPr>
          <w:rFonts w:ascii="Times New Roman" w:hAnsi="Times New Roman" w:cs="Times New Roman"/>
          <w:sz w:val="24"/>
          <w:szCs w:val="24"/>
        </w:rPr>
        <w:t>Terrel</w:t>
      </w:r>
      <w:proofErr w:type="spellEnd"/>
      <w:r w:rsidRPr="00912C1E">
        <w:rPr>
          <w:rFonts w:ascii="Times New Roman" w:hAnsi="Times New Roman" w:cs="Times New Roman"/>
          <w:sz w:val="24"/>
          <w:szCs w:val="24"/>
        </w:rPr>
        <w:t xml:space="preserve"> on the Law of Patents, 14th edition [1994]: Verification: If the alleged inventive step consists in fact merely in a verification of the published statements of other workers in the art, that will not be proper subject matter for a patent. 5) The order of the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IPAB in OA/8/2009/PT/CH and M.P. </w:t>
      </w:r>
      <w:proofErr w:type="spellStart"/>
      <w:r w:rsidRPr="00912C1E">
        <w:rPr>
          <w:rFonts w:ascii="Times New Roman" w:hAnsi="Times New Roman" w:cs="Times New Roman"/>
          <w:sz w:val="24"/>
          <w:szCs w:val="24"/>
        </w:rPr>
        <w:t>Nos</w:t>
      </w:r>
      <w:proofErr w:type="spellEnd"/>
      <w:r w:rsidRPr="00912C1E">
        <w:rPr>
          <w:rFonts w:ascii="Times New Roman" w:hAnsi="Times New Roman" w:cs="Times New Roman"/>
          <w:sz w:val="24"/>
          <w:szCs w:val="24"/>
        </w:rPr>
        <w:t xml:space="preserve"> 85 &amp; 111 of 2012 in OA/8/2009/PT/CH [</w:t>
      </w:r>
      <w:proofErr w:type="spellStart"/>
      <w:r w:rsidRPr="00912C1E">
        <w:rPr>
          <w:rFonts w:ascii="Times New Roman" w:hAnsi="Times New Roman" w:cs="Times New Roman"/>
          <w:sz w:val="24"/>
          <w:szCs w:val="24"/>
        </w:rPr>
        <w:t>Sankalp</w:t>
      </w:r>
      <w:proofErr w:type="spellEnd"/>
      <w:r w:rsidRPr="00912C1E">
        <w:rPr>
          <w:rFonts w:ascii="Times New Roman" w:hAnsi="Times New Roman" w:cs="Times New Roman"/>
          <w:sz w:val="24"/>
          <w:szCs w:val="24"/>
        </w:rPr>
        <w:t xml:space="preserve"> Rehabilitation Trust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F.Hoffmann</w:t>
      </w:r>
      <w:proofErr w:type="spellEnd"/>
      <w:r w:rsidRPr="00912C1E">
        <w:rPr>
          <w:rFonts w:ascii="Times New Roman" w:hAnsi="Times New Roman" w:cs="Times New Roman"/>
          <w:sz w:val="24"/>
          <w:szCs w:val="24"/>
        </w:rPr>
        <w:t xml:space="preserve"> La-Roche AG and </w:t>
      </w:r>
      <w:proofErr w:type="spellStart"/>
      <w:r w:rsidRPr="00912C1E">
        <w:rPr>
          <w:rFonts w:ascii="Times New Roman" w:hAnsi="Times New Roman" w:cs="Times New Roman"/>
          <w:sz w:val="24"/>
          <w:szCs w:val="24"/>
        </w:rPr>
        <w:t>Anr</w:t>
      </w:r>
      <w:proofErr w:type="spellEnd"/>
      <w:r w:rsidRPr="00912C1E">
        <w:rPr>
          <w:rFonts w:ascii="Times New Roman" w:hAnsi="Times New Roman" w:cs="Times New Roman"/>
          <w:sz w:val="24"/>
          <w:szCs w:val="24"/>
        </w:rPr>
        <w:t xml:space="preserve">.]: [pages from 38/57 to 52-53/57]: “Obviousness cannot be avoided simply by showing of some degree of unpredictability in the art so long as there was a reasonable probability of success.” [taken from the United States of Courts of Appeals for the Federal Circuit in Pfizer </w:t>
      </w:r>
      <w:proofErr w:type="spellStart"/>
      <w:r w:rsidRPr="00912C1E">
        <w:rPr>
          <w:rFonts w:ascii="Times New Roman" w:hAnsi="Times New Roman" w:cs="Times New Roman"/>
          <w:sz w:val="24"/>
          <w:szCs w:val="24"/>
        </w:rPr>
        <w:t>Inc</w:t>
      </w:r>
      <w:proofErr w:type="spellEnd"/>
      <w:r w:rsidRPr="00912C1E">
        <w:rPr>
          <w:rFonts w:ascii="Times New Roman" w:hAnsi="Times New Roman" w:cs="Times New Roman"/>
          <w:sz w:val="24"/>
          <w:szCs w:val="24"/>
        </w:rPr>
        <w:t xml:space="preserve"> v. </w:t>
      </w:r>
      <w:proofErr w:type="spellStart"/>
      <w:r w:rsidRPr="00912C1E">
        <w:rPr>
          <w:rFonts w:ascii="Times New Roman" w:hAnsi="Times New Roman" w:cs="Times New Roman"/>
          <w:sz w:val="24"/>
          <w:szCs w:val="24"/>
        </w:rPr>
        <w:t>Apotex</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Inc</w:t>
      </w:r>
      <w:proofErr w:type="spellEnd"/>
      <w:r w:rsidRPr="00912C1E">
        <w:rPr>
          <w:rFonts w:ascii="Times New Roman" w:hAnsi="Times New Roman" w:cs="Times New Roman"/>
          <w:sz w:val="24"/>
          <w:szCs w:val="24"/>
        </w:rPr>
        <w:t xml:space="preserve"> in 2006-1261 dated 22/03/2007+; “seeing obviousness need not seek out precise teaching, </w:t>
      </w:r>
      <w:r w:rsidRPr="00912C1E">
        <w:rPr>
          <w:rFonts w:ascii="Times New Roman" w:hAnsi="Times New Roman" w:cs="Times New Roman"/>
          <w:sz w:val="24"/>
          <w:szCs w:val="24"/>
        </w:rPr>
        <w:lastRenderedPageBreak/>
        <w:t xml:space="preserve">but it can consider the inferences and creative steps that a person of ordinary skill in the art would employ”. *Taken from KSR International Co. v. Teleflex Inc. et al., (No.04-1350, decided on 30/04/2007)]. The case revolved around the question of obviousness and stated that the Court must ask whether the improvement is more than the predictable use of prior art elements according to their established functions. It stated that the question is not as to the combination of obviousness of a person of ordinary skill in the art. It stated that the Court for seeing obviousness need not seek out precise teaching, but it can consider the inferences and creative steps that a person of ordinary skill in the art would employ. It cannot be concluded that the patent claim cannot be proved obvious merely by showing that the combination of elements was obvious to try. When there is a design need or market pressure to solve a problem and there are a finite number of identified, predictable solutions, a person of ordinary skill in the art has good reason to pursue the known options within his or her technical grasp. If this leads to the anticipated success, it is likely the product not of innovation but of ordinary skill and common sense. 6) Para 42 of the order of the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IPAB in OA/8/2009/PT/CH and M.P. </w:t>
      </w:r>
      <w:proofErr w:type="spellStart"/>
      <w:r w:rsidRPr="00912C1E">
        <w:rPr>
          <w:rFonts w:ascii="Times New Roman" w:hAnsi="Times New Roman" w:cs="Times New Roman"/>
          <w:sz w:val="24"/>
          <w:szCs w:val="24"/>
        </w:rPr>
        <w:t>Nos</w:t>
      </w:r>
      <w:proofErr w:type="spellEnd"/>
      <w:r w:rsidRPr="00912C1E">
        <w:rPr>
          <w:rFonts w:ascii="Times New Roman" w:hAnsi="Times New Roman" w:cs="Times New Roman"/>
          <w:sz w:val="24"/>
          <w:szCs w:val="24"/>
        </w:rPr>
        <w:t xml:space="preserve"> 85 &amp; 111 of 2012 in OA/8/2009/PT/CH [</w:t>
      </w:r>
      <w:proofErr w:type="spellStart"/>
      <w:r w:rsidRPr="00912C1E">
        <w:rPr>
          <w:rFonts w:ascii="Times New Roman" w:hAnsi="Times New Roman" w:cs="Times New Roman"/>
          <w:sz w:val="24"/>
          <w:szCs w:val="24"/>
        </w:rPr>
        <w:t>Sankalp</w:t>
      </w:r>
      <w:proofErr w:type="spellEnd"/>
      <w:r w:rsidRPr="00912C1E">
        <w:rPr>
          <w:rFonts w:ascii="Times New Roman" w:hAnsi="Times New Roman" w:cs="Times New Roman"/>
          <w:sz w:val="24"/>
          <w:szCs w:val="24"/>
        </w:rPr>
        <w:t xml:space="preserve"> Rehabilitation Trust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F.Hoffmann</w:t>
      </w:r>
      <w:proofErr w:type="spellEnd"/>
      <w:r w:rsidRPr="00912C1E">
        <w:rPr>
          <w:rFonts w:ascii="Times New Roman" w:hAnsi="Times New Roman" w:cs="Times New Roman"/>
          <w:sz w:val="24"/>
          <w:szCs w:val="24"/>
        </w:rPr>
        <w:t xml:space="preserve"> La-Roche AG and </w:t>
      </w:r>
      <w:proofErr w:type="spellStart"/>
      <w:r w:rsidRPr="00912C1E">
        <w:rPr>
          <w:rFonts w:ascii="Times New Roman" w:hAnsi="Times New Roman" w:cs="Times New Roman"/>
          <w:sz w:val="24"/>
          <w:szCs w:val="24"/>
        </w:rPr>
        <w:t>Anr</w:t>
      </w:r>
      <w:proofErr w:type="spellEnd"/>
      <w:r w:rsidRPr="00912C1E">
        <w:rPr>
          <w:rFonts w:ascii="Times New Roman" w:hAnsi="Times New Roman" w:cs="Times New Roman"/>
          <w:sz w:val="24"/>
          <w:szCs w:val="24"/>
        </w:rPr>
        <w:t>.]: The non-obviousness and novelty factors are sometimes sitting there cheek-by-jowl. “The Law of Patents” by Nard second edition says that Novelty “seeks to assure the public domain remains undisturbed” while non-obviousness “demands that the claimed invention be sufficiently removed from the prior art.” This text also says that non-obvious enquiry is “a more aggressive sentry” and “a richer policy tool that allows for the combination of prior art references and demands more complex rules.” In KSR, the US Supreme Court held that the analysis of obviousness must be made explicit, and the reasoning to support the conclusion of obviousness must be articulated with rational underpinnings, the Court may have to look at the inter related teachings of the multiple patents, the effect of demands known to the design community and the background knowledge possessed by a person having ordinary skill in the art. So the determination on obviousness is a legal one. The Court has to see a) what is the prior art; b</w:t>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differences between the prior art and the invention and c)the skill of the imaginary ordinary man. This man has skill but until KSR came along he had no inventive or creative capacity. Such a person is hard to find, but we had to conjure this man in our mind as we do the man on the </w:t>
      </w:r>
      <w:proofErr w:type="spellStart"/>
      <w:r w:rsidRPr="00912C1E">
        <w:rPr>
          <w:rFonts w:ascii="Times New Roman" w:hAnsi="Times New Roman" w:cs="Times New Roman"/>
          <w:sz w:val="24"/>
          <w:szCs w:val="24"/>
        </w:rPr>
        <w:t>Clapham</w:t>
      </w:r>
      <w:proofErr w:type="spellEnd"/>
      <w:r w:rsidRPr="00912C1E">
        <w:rPr>
          <w:rFonts w:ascii="Times New Roman" w:hAnsi="Times New Roman" w:cs="Times New Roman"/>
          <w:sz w:val="24"/>
          <w:szCs w:val="24"/>
        </w:rPr>
        <w:t xml:space="preserve"> on the omnibus. By way of diversion, it seems he is referred by the acronym Mr. PHOSITA or just PHOSITA, the preferred acronym could be POSIT it sounds better or POSITA if you please. Getting back to the track, as KSR says this man is “A person of ordinary skill is also a person of ordinary creativity not </w:t>
      </w:r>
      <w:proofErr w:type="gramStart"/>
      <w:r w:rsidRPr="00912C1E">
        <w:rPr>
          <w:rFonts w:ascii="Times New Roman" w:hAnsi="Times New Roman" w:cs="Times New Roman"/>
          <w:sz w:val="24"/>
          <w:szCs w:val="24"/>
        </w:rPr>
        <w:t>an automation</w:t>
      </w:r>
      <w:proofErr w:type="gramEnd"/>
      <w:r w:rsidRPr="00912C1E">
        <w:rPr>
          <w:rFonts w:ascii="Times New Roman" w:hAnsi="Times New Roman" w:cs="Times New Roman"/>
          <w:sz w:val="24"/>
          <w:szCs w:val="24"/>
        </w:rPr>
        <w:t xml:space="preserve">.” So an automation-like unimaginative but skilled man has now been allowed to have a modicum of creativity and imagination by the grace of the U S Supreme Court! We must remember that this ordinary man has skill in this art. He is not ignorant of its basics, nor is he ignorant of the activities in the particular field. He is also not ignorant of the demand on this art. “He is just an average man…..Well…..Just an ordinary man.” But he is no dullard. He has read the prior art and knows how to proceed in the normal course of research with what he knows of the state of the art. He does not need to be guided along step by step. He can work his way through. He reads the prior arts as a whole and allows himself to be taught by what is contained therein. He is neither picking out the “teaching towards passages” like the challenger, nor is he seeking out the “teaching away passages” like the </w:t>
      </w:r>
      <w:r w:rsidRPr="00912C1E">
        <w:rPr>
          <w:rFonts w:ascii="Times New Roman" w:hAnsi="Times New Roman" w:cs="Times New Roman"/>
          <w:sz w:val="24"/>
          <w:szCs w:val="24"/>
        </w:rPr>
        <w:lastRenderedPageBreak/>
        <w:t xml:space="preserve">defender………………… “The question is not whether the combination was obvious to the patentee but whether the combination was obvious to the person skilled in the art. Under the correct analysis, any need or problem known in the field of </w:t>
      </w:r>
      <w:proofErr w:type="spellStart"/>
      <w:r w:rsidRPr="00912C1E">
        <w:rPr>
          <w:rFonts w:ascii="Times New Roman" w:hAnsi="Times New Roman" w:cs="Times New Roman"/>
          <w:sz w:val="24"/>
          <w:szCs w:val="24"/>
        </w:rPr>
        <w:t>endeavour</w:t>
      </w:r>
      <w:proofErr w:type="spellEnd"/>
      <w:r w:rsidRPr="00912C1E">
        <w:rPr>
          <w:rFonts w:ascii="Times New Roman" w:hAnsi="Times New Roman" w:cs="Times New Roman"/>
          <w:sz w:val="24"/>
          <w:szCs w:val="24"/>
        </w:rPr>
        <w:t xml:space="preserve"> at the time of invention and addressed by the patent can provide a reason for combining the elements in the manner claimed.” And one of the easy ways by which “a patent’s subject matter can be proved obvious is by noting there was an obvious solution encompassed by the patent’s claims.” KSR also says that if pursuit of known options with the technical grasp of the person skilled in the art leads to the anticipated success. It is likely the product not of innovation but of ordinary skill and common sense. 7) The reference to paragraph 10 of the Boards of Appeal of the EPO in the case number T 0190/03 wherein it is stated that “As explained for example in T 939/92 (OJ EPO 1996, 309) at point 2.4.3, formulating the problem involves assessing the effects of the distinguishing features. It is then assumed that the skilled person would in fact seek to achieve these effects, so that achieving them becomes the technical problem. It is thus inherent in the problem and solution approach that the skilled person would look for a solution to the problem. 8) With respect to the alternative treatment of the cardiac diseases it was stated in the decision of the Boards of Appeal of the case number [of EPO] T 0871/04 that there </w:t>
      </w:r>
      <w:proofErr w:type="spellStart"/>
      <w:r w:rsidRPr="00912C1E">
        <w:rPr>
          <w:rFonts w:ascii="Times New Roman" w:hAnsi="Times New Roman" w:cs="Times New Roman"/>
          <w:sz w:val="24"/>
          <w:szCs w:val="24"/>
        </w:rPr>
        <w:t>can not</w:t>
      </w:r>
      <w:proofErr w:type="spellEnd"/>
      <w:r w:rsidRPr="00912C1E">
        <w:rPr>
          <w:rFonts w:ascii="Times New Roman" w:hAnsi="Times New Roman" w:cs="Times New Roman"/>
          <w:sz w:val="24"/>
          <w:szCs w:val="24"/>
        </w:rPr>
        <w:t xml:space="preserve"> be any inventive step in the provisions of an obvious alternative. 9) Normal understanding of ‘inventive step’ was discussed only with respect to the invention in question in the US Supreme Court Decision, Atlantic Works v. Brandy, 107 U.S. 192 (1883); The relevant line is “What then, did he invent? Did he make a selection and combination of these elements that would not have occurred to any ordinary skilled engineer called upon, with all his previous knowledge and experience before him, to devise the construction of a strong dredge……” 10) The decision of the Boards of Appeal of EPO, the case number is T 0620/04..3.3.10: for deciding whether or not a claimed invention meets the criteria of inventive step, the Boards of Appeal consistently apply the problem and solution approach, which essentially involves identifying the closest prior art, determining in the light thereof the technical problem which the claimed invention addresses and successfully solves, and examining whether or not the claimed solution to this problem is obvious for the skilled person in view of the state of the art. 11) The decision of the Boards of Appeal of EPO, the case number T 164/B3 wherein it is stated thus; Technical progress shown in comparison with marketed products as an alleged support for inventive step cannot be a substitute for the demonstration of inventive step with regard to the relevant closest state of the art. 12) Patent appeal number 8474; United States Court of Customs and Patent Appeals; 24th June 1971: It should be too well settled now to require citation or discussion that the test for combining references is not what the individual references themselves suggest but rather what the combination of disclosures taken as a whole would suggest to one of ordinary skill in the art. Any judgment on obviousness is in a sense necessarily a reconstruction based upon hindsight reasoning , but so long as it takes into account only knowledge which was within the level of ordinary skill at the time the claimed invention was made and does not include knowledge gleaned only from applicant’s disclosure, such a reconstruction is proper. 13) In re Fulton, 391 F 3d 1195, 1201, 73 USPQ2d 1141, 1146 (Fed. Cir. 2004), it was mentioned that the prior art’s mere disclosure of more than one alternative does not constitute a teaching away from any of these alternatives because such disclosure does not criticize, discredit or otherwise discourage the solution claimed… 14) The decisions of the Boards of Appeals of </w:t>
      </w:r>
      <w:r w:rsidRPr="00912C1E">
        <w:rPr>
          <w:rFonts w:ascii="Times New Roman" w:hAnsi="Times New Roman" w:cs="Times New Roman"/>
          <w:sz w:val="24"/>
          <w:szCs w:val="24"/>
        </w:rPr>
        <w:lastRenderedPageBreak/>
        <w:t xml:space="preserve">EPO, the case numbers T 56/87 OJ 1990.188 T 768/90 T 223/94 T 115/96 T 717/96 &amp; T 414/98 wherein a comment on technical disclosure in a prior art document was made thus; “In line with the established case law of the Boards of Appeal, when investigating inventive step it should be borne in mind that the technical disclosure in a prior art document should be considered in its entirety, as it would be done by a person skilled in the art and that it is not justified arbitrarily isolate parts of such document from their context in order to derive from them technical information which would be distant from the integral teaching of the document.” Now let me try to </w:t>
      </w:r>
      <w:proofErr w:type="spellStart"/>
      <w:r w:rsidRPr="00912C1E">
        <w:rPr>
          <w:rFonts w:ascii="Times New Roman" w:hAnsi="Times New Roman" w:cs="Times New Roman"/>
          <w:sz w:val="24"/>
          <w:szCs w:val="24"/>
        </w:rPr>
        <w:t>analyse</w:t>
      </w:r>
      <w:proofErr w:type="spellEnd"/>
      <w:r w:rsidRPr="00912C1E">
        <w:rPr>
          <w:rFonts w:ascii="Times New Roman" w:hAnsi="Times New Roman" w:cs="Times New Roman"/>
          <w:sz w:val="24"/>
          <w:szCs w:val="24"/>
        </w:rPr>
        <w:t xml:space="preserve"> the presence or absence of obviousness on line with the arguments made by both the patentee and opponent. I would like to pursue the answers to understand the inference of the following questions from the cited references herein. 1) Is there any limitation in the prior art using the wet granulation process wherein the particle size of the API when it is more than 100 micro meters? 2) What are the effects of the excipients and is there any lower limitation of an excipient that prohibits the tablet formulation? 3) Whether all the APIs are suitable for the preparation of tablets, especially, high drug load tablets by using wet granulation method. In pursuit of getting an answer to the above questions stated above I prefer to refer to the following documents: D6 [page numbers 1623-1625]: The following statements of D6 are reproduced herein below: “Particle size distribution can be controlled by varying the speed of rotation and drying temperature as well as by comminuting the granulation to the desired granule size after drying” “Note that the smaller the tablet, the finer the granulation to enable more uniform filling of the die cavity; large granules give an irregular fill to a comparatively small die cavity. With compressed tablets of sodium bicarbonate, lactose and magnesium </w:t>
      </w:r>
      <w:proofErr w:type="spellStart"/>
      <w:r w:rsidRPr="00912C1E">
        <w:rPr>
          <w:rFonts w:ascii="Times New Roman" w:hAnsi="Times New Roman" w:cs="Times New Roman"/>
          <w:sz w:val="24"/>
          <w:szCs w:val="24"/>
        </w:rPr>
        <w:t>trisilicate</w:t>
      </w:r>
      <w:proofErr w:type="spellEnd"/>
      <w:r w:rsidRPr="00912C1E">
        <w:rPr>
          <w:rFonts w:ascii="Times New Roman" w:hAnsi="Times New Roman" w:cs="Times New Roman"/>
          <w:sz w:val="24"/>
          <w:szCs w:val="24"/>
        </w:rPr>
        <w:t xml:space="preserve">, a relationship has been demonstrated to exist between the particle size of the granulated material and the disintegration time and capping of the resultant tablets. For a sulfathiazole granulation, however, the particle size distribution did not appear to influence hardness or disintegration.” Excerpts from D7: “The wet granulation process has a number of advantages over the other granulation methods but is not readily suitable for hydrolysable and or </w:t>
      </w:r>
      <w:proofErr w:type="spellStart"/>
      <w:r w:rsidRPr="00912C1E">
        <w:rPr>
          <w:rFonts w:ascii="Times New Roman" w:hAnsi="Times New Roman" w:cs="Times New Roman"/>
          <w:sz w:val="24"/>
          <w:szCs w:val="24"/>
        </w:rPr>
        <w:t>thermolabile</w:t>
      </w:r>
      <w:proofErr w:type="spellEnd"/>
      <w:r w:rsidRPr="00912C1E">
        <w:rPr>
          <w:rFonts w:ascii="Times New Roman" w:hAnsi="Times New Roman" w:cs="Times New Roman"/>
          <w:sz w:val="24"/>
          <w:szCs w:val="24"/>
        </w:rPr>
        <w:t xml:space="preserve"> drugs such as antibiotics.” According to D8 the first process of wet granulation is ‘Milling of drugs and excipients’. [Table 2</w:t>
      </w:r>
      <w:proofErr w:type="gramStart"/>
      <w:r w:rsidRPr="00912C1E">
        <w:rPr>
          <w:rFonts w:ascii="Times New Roman" w:hAnsi="Times New Roman" w:cs="Times New Roman"/>
          <w:sz w:val="24"/>
          <w:szCs w:val="24"/>
        </w:rPr>
        <w:t>;page</w:t>
      </w:r>
      <w:proofErr w:type="gramEnd"/>
      <w:r w:rsidRPr="00912C1E">
        <w:rPr>
          <w:rFonts w:ascii="Times New Roman" w:hAnsi="Times New Roman" w:cs="Times New Roman"/>
          <w:sz w:val="24"/>
          <w:szCs w:val="24"/>
        </w:rPr>
        <w:t xml:space="preserve"> 137]. Under paragraph IV, captioned as granulation it is stated that; “Granulation is any process of size enlargement whereby small particles are gathered together into larger, permanent aggregates to render them into free flowing state similar to that dry sand.” “Drugs having a high dosage and poor flow and/or compressibility must be granulated by the wet method to obtain suitable flow and cohesion [bonding of like materials] for compression. In this case, the proportion of the binder required </w:t>
      </w:r>
      <w:proofErr w:type="gramStart"/>
      <w:r w:rsidRPr="00912C1E">
        <w:rPr>
          <w:rFonts w:ascii="Times New Roman" w:hAnsi="Times New Roman" w:cs="Times New Roman"/>
          <w:sz w:val="24"/>
          <w:szCs w:val="24"/>
        </w:rPr>
        <w:t>to impart</w:t>
      </w:r>
      <w:proofErr w:type="gramEnd"/>
      <w:r w:rsidRPr="00912C1E">
        <w:rPr>
          <w:rFonts w:ascii="Times New Roman" w:hAnsi="Times New Roman" w:cs="Times New Roman"/>
          <w:sz w:val="24"/>
          <w:szCs w:val="24"/>
        </w:rPr>
        <w:t xml:space="preserve"> adequate compressibility and flow is much less than that of the dry binder needed to produce a tablet-by-direct compression.” Under the limitations of wet granulation it is stated that it can slow the dissolution of drugs from inside granules after tablet disintegration if not properly formulated and processed. One of the factors according to D8 is that affect the wetting in the wet granulation process is related to relative size and shape of the powder particles. All the above references refer to only the size of the prepared/formed granules but not on the size of the particle size of the active. Granules are the result of the granulation process where in the size enlargements take place by cohesion and adhesion methods. The patentee has stated that the wet granulation is done generally with the particle size of the API is less than 100 micro meter but not the above. The opponent did not oppose that and also could not establish </w:t>
      </w:r>
      <w:r w:rsidRPr="00912C1E">
        <w:rPr>
          <w:rFonts w:ascii="Times New Roman" w:hAnsi="Times New Roman" w:cs="Times New Roman"/>
          <w:sz w:val="24"/>
          <w:szCs w:val="24"/>
        </w:rPr>
        <w:lastRenderedPageBreak/>
        <w:t xml:space="preserve">beyond doubt that there is no difficulty in </w:t>
      </w:r>
      <w:proofErr w:type="spellStart"/>
      <w:r w:rsidRPr="00912C1E">
        <w:rPr>
          <w:rFonts w:ascii="Times New Roman" w:hAnsi="Times New Roman" w:cs="Times New Roman"/>
          <w:sz w:val="24"/>
          <w:szCs w:val="24"/>
        </w:rPr>
        <w:t>practise</w:t>
      </w:r>
      <w:proofErr w:type="spellEnd"/>
      <w:r w:rsidRPr="00912C1E">
        <w:rPr>
          <w:rFonts w:ascii="Times New Roman" w:hAnsi="Times New Roman" w:cs="Times New Roman"/>
          <w:sz w:val="24"/>
          <w:szCs w:val="24"/>
        </w:rPr>
        <w:t xml:space="preserve"> of wet granulation process wherein the particle size of API is beyond 100 micro meters. Hence the argument made by the patentee for the use of known wet granulation process for the particles size of the API of approximately around 400 micro meters appears to be inventive. But in the absence of any restriction requirements of any particle size of any ingredient including the active in the wet granulation process from the reference documents as annexed in this opposition could allow any person skilled in the art to try the tablet preparation wherein the particle size of the active is above 100 micro meters. Since this inference appears to be possible then the present invention lacks inventiveness. D6 teaches that in addition to the active or therapeutic ingredient, tablets contain a number of inert materials. The latter are known as additives or excipients. They may be classified according to the part they play in the finished tablet. The first group contains those which help to impart satisfactory processing and compression characteristics to the formulation. These include diluents, binders, </w:t>
      </w:r>
      <w:proofErr w:type="spellStart"/>
      <w:r w:rsidRPr="00912C1E">
        <w:rPr>
          <w:rFonts w:ascii="Times New Roman" w:hAnsi="Times New Roman" w:cs="Times New Roman"/>
          <w:sz w:val="24"/>
          <w:szCs w:val="24"/>
        </w:rPr>
        <w:t>glidants</w:t>
      </w:r>
      <w:proofErr w:type="spellEnd"/>
      <w:r w:rsidRPr="00912C1E">
        <w:rPr>
          <w:rFonts w:ascii="Times New Roman" w:hAnsi="Times New Roman" w:cs="Times New Roman"/>
          <w:sz w:val="24"/>
          <w:szCs w:val="24"/>
        </w:rPr>
        <w:t xml:space="preserve"> and lubricants. The second group of added substances helps to give additional desirable physical characteristics to the finished tablet. Included in this group are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colours</w:t>
      </w:r>
      <w:proofErr w:type="spellEnd"/>
      <w:r w:rsidRPr="00912C1E">
        <w:rPr>
          <w:rFonts w:ascii="Times New Roman" w:hAnsi="Times New Roman" w:cs="Times New Roman"/>
          <w:sz w:val="24"/>
          <w:szCs w:val="24"/>
        </w:rPr>
        <w:t xml:space="preserve">, and in the case of chewable tablets, </w:t>
      </w:r>
      <w:proofErr w:type="spellStart"/>
      <w:r w:rsidRPr="00912C1E">
        <w:rPr>
          <w:rFonts w:ascii="Times New Roman" w:hAnsi="Times New Roman" w:cs="Times New Roman"/>
          <w:sz w:val="24"/>
          <w:szCs w:val="24"/>
        </w:rPr>
        <w:t>flavours</w:t>
      </w:r>
      <w:proofErr w:type="spellEnd"/>
      <w:r w:rsidRPr="00912C1E">
        <w:rPr>
          <w:rFonts w:ascii="Times New Roman" w:hAnsi="Times New Roman" w:cs="Times New Roman"/>
          <w:sz w:val="24"/>
          <w:szCs w:val="24"/>
        </w:rPr>
        <w:t xml:space="preserve"> and sweetening agents, and in the case of controlled release tablets, polymers or waxes or other solubility-retarded materials. Although the term inert has been applied to these added materials, it is becoming increasingly apparent that there is an important relationship between the properties of the excipients and the dosage forms containing them. </w:t>
      </w:r>
      <w:proofErr w:type="spellStart"/>
      <w:r w:rsidRPr="00912C1E">
        <w:rPr>
          <w:rFonts w:ascii="Times New Roman" w:hAnsi="Times New Roman" w:cs="Times New Roman"/>
          <w:sz w:val="24"/>
          <w:szCs w:val="24"/>
        </w:rPr>
        <w:t>Performulation</w:t>
      </w:r>
      <w:proofErr w:type="spellEnd"/>
      <w:r w:rsidRPr="00912C1E">
        <w:rPr>
          <w:rFonts w:ascii="Times New Roman" w:hAnsi="Times New Roman" w:cs="Times New Roman"/>
          <w:sz w:val="24"/>
          <w:szCs w:val="24"/>
        </w:rPr>
        <w:t xml:space="preserve"> studies demonstrate their influence on stability, bioavailability and the processes by which the dosage forms are prepared. This teaching establishes the relation between the active and the excipients. Therefore there must be a minimum requirement of an excipient to perform its intended function. In the present case the patentee claims the use of less amount of excipient compared with prior art and still able to prepare a tablet that to a high drug load tablet which otherwise generally expected to contain higher amount of excipient. The present invention uses microcrystalline cellulose and or </w:t>
      </w:r>
      <w:proofErr w:type="spellStart"/>
      <w:r w:rsidRPr="00912C1E">
        <w:rPr>
          <w:rFonts w:ascii="Times New Roman" w:hAnsi="Times New Roman" w:cs="Times New Roman"/>
          <w:sz w:val="24"/>
          <w:szCs w:val="24"/>
        </w:rPr>
        <w:t>hydroxypropylmethyl</w:t>
      </w:r>
      <w:proofErr w:type="spellEnd"/>
      <w:r w:rsidRPr="00912C1E">
        <w:rPr>
          <w:rFonts w:ascii="Times New Roman" w:hAnsi="Times New Roman" w:cs="Times New Roman"/>
          <w:sz w:val="24"/>
          <w:szCs w:val="24"/>
        </w:rPr>
        <w:t xml:space="preserve"> cellulose as preferred binders; </w:t>
      </w:r>
      <w:proofErr w:type="spellStart"/>
      <w:r w:rsidRPr="00912C1E">
        <w:rPr>
          <w:rFonts w:ascii="Times New Roman" w:hAnsi="Times New Roman" w:cs="Times New Roman"/>
          <w:sz w:val="24"/>
          <w:szCs w:val="24"/>
        </w:rPr>
        <w:t>Crospovidone</w:t>
      </w:r>
      <w:proofErr w:type="spellEnd"/>
      <w:r w:rsidRPr="00912C1E">
        <w:rPr>
          <w:rFonts w:ascii="Times New Roman" w:hAnsi="Times New Roman" w:cs="Times New Roman"/>
          <w:sz w:val="24"/>
          <w:szCs w:val="24"/>
        </w:rPr>
        <w:t xml:space="preserve"> [a registered trade mark] as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 xml:space="preserve"> along with any preferred </w:t>
      </w:r>
      <w:proofErr w:type="spellStart"/>
      <w:r w:rsidRPr="00912C1E">
        <w:rPr>
          <w:rFonts w:ascii="Times New Roman" w:hAnsi="Times New Roman" w:cs="Times New Roman"/>
          <w:sz w:val="24"/>
          <w:szCs w:val="24"/>
        </w:rPr>
        <w:t>glidants</w:t>
      </w:r>
      <w:proofErr w:type="spellEnd"/>
      <w:r w:rsidRPr="00912C1E">
        <w:rPr>
          <w:rFonts w:ascii="Times New Roman" w:hAnsi="Times New Roman" w:cs="Times New Roman"/>
          <w:sz w:val="24"/>
          <w:szCs w:val="24"/>
        </w:rPr>
        <w:t xml:space="preserve"> and lubricants. All these compounds are known but now the question is with respect to their percentages [w/w] of the total weight of the tablet. D6 teaches that microcrystalline cellulose [</w:t>
      </w:r>
      <w:proofErr w:type="spellStart"/>
      <w:r w:rsidRPr="00912C1E">
        <w:rPr>
          <w:rFonts w:ascii="Times New Roman" w:hAnsi="Times New Roman" w:cs="Times New Roman"/>
          <w:sz w:val="24"/>
          <w:szCs w:val="24"/>
        </w:rPr>
        <w:t>Avicel</w:t>
      </w:r>
      <w:proofErr w:type="spellEnd"/>
      <w:r w:rsidRPr="00912C1E">
        <w:rPr>
          <w:rFonts w:ascii="Times New Roman" w:hAnsi="Times New Roman" w:cs="Times New Roman"/>
          <w:sz w:val="24"/>
          <w:szCs w:val="24"/>
        </w:rPr>
        <w:t xml:space="preserve">] usually is used as a diluent in direct compression formulas. However, its presence in 5 to 15% concentrations in wet granulations has been shown to be beneficial in the granulation and drying processes in minimizing case-hardening of the tablets and in reducing tablet mottling. Example 8 and 4 of D1 and D2 has around 18% of </w:t>
      </w:r>
      <w:proofErr w:type="spellStart"/>
      <w:r w:rsidRPr="00912C1E">
        <w:rPr>
          <w:rFonts w:ascii="Times New Roman" w:hAnsi="Times New Roman" w:cs="Times New Roman"/>
          <w:sz w:val="24"/>
          <w:szCs w:val="24"/>
        </w:rPr>
        <w:t>Avicel</w:t>
      </w:r>
      <w:proofErr w:type="spellEnd"/>
      <w:r w:rsidRPr="00912C1E">
        <w:rPr>
          <w:rFonts w:ascii="Times New Roman" w:hAnsi="Times New Roman" w:cs="Times New Roman"/>
          <w:sz w:val="24"/>
          <w:szCs w:val="24"/>
        </w:rPr>
        <w:t xml:space="preserve"> whereas the Example 1 of the present invention has around 13%, as component of the granulate and the Example 2 of the present invention has around 13% of </w:t>
      </w:r>
      <w:proofErr w:type="spellStart"/>
      <w:r w:rsidRPr="00912C1E">
        <w:rPr>
          <w:rFonts w:ascii="Times New Roman" w:hAnsi="Times New Roman" w:cs="Times New Roman"/>
          <w:sz w:val="24"/>
          <w:szCs w:val="24"/>
        </w:rPr>
        <w:t>Avicel</w:t>
      </w:r>
      <w:proofErr w:type="spellEnd"/>
      <w:r w:rsidRPr="00912C1E">
        <w:rPr>
          <w:rFonts w:ascii="Times New Roman" w:hAnsi="Times New Roman" w:cs="Times New Roman"/>
          <w:sz w:val="24"/>
          <w:szCs w:val="24"/>
        </w:rPr>
        <w:t xml:space="preserve"> as component of the granulate. The 13% is within the range of 5 to 15% as taught in D6 but this only when </w:t>
      </w:r>
      <w:proofErr w:type="spellStart"/>
      <w:r w:rsidRPr="00912C1E">
        <w:rPr>
          <w:rFonts w:ascii="Times New Roman" w:hAnsi="Times New Roman" w:cs="Times New Roman"/>
          <w:sz w:val="24"/>
          <w:szCs w:val="24"/>
        </w:rPr>
        <w:t>Avicel</w:t>
      </w:r>
      <w:proofErr w:type="spellEnd"/>
      <w:r w:rsidRPr="00912C1E">
        <w:rPr>
          <w:rFonts w:ascii="Times New Roman" w:hAnsi="Times New Roman" w:cs="Times New Roman"/>
          <w:sz w:val="24"/>
          <w:szCs w:val="24"/>
        </w:rPr>
        <w:t xml:space="preserve"> is used as diluent only. In the present invention it is stated that microcrystalline cellulose and or </w:t>
      </w:r>
      <w:proofErr w:type="spellStart"/>
      <w:r w:rsidRPr="00912C1E">
        <w:rPr>
          <w:rFonts w:ascii="Times New Roman" w:hAnsi="Times New Roman" w:cs="Times New Roman"/>
          <w:sz w:val="24"/>
          <w:szCs w:val="24"/>
        </w:rPr>
        <w:t>hydroxypropyl</w:t>
      </w:r>
      <w:proofErr w:type="spellEnd"/>
      <w:r w:rsidRPr="00912C1E">
        <w:rPr>
          <w:rFonts w:ascii="Times New Roman" w:hAnsi="Times New Roman" w:cs="Times New Roman"/>
          <w:sz w:val="24"/>
          <w:szCs w:val="24"/>
        </w:rPr>
        <w:t xml:space="preserve"> methyl cellulose is preferentially used as a binder. D 6 teaches that the quantity of binder used has considerable influence on the characteristics of the compressed tablets. The use of too much binder or too strong a binder will make a tablet hard which will not disintegrate easily and which will cause excessive wear of punches and dies. Materials which have no cohesive qualities of their own will require a stronger binder than those with these qualities. D6 further teaches the compounds that are generally used as binders are starch paste [e.g. corn starch]; Gelatin </w:t>
      </w:r>
      <w:r w:rsidRPr="00912C1E">
        <w:rPr>
          <w:rFonts w:ascii="Times New Roman" w:hAnsi="Times New Roman" w:cs="Times New Roman"/>
          <w:sz w:val="24"/>
          <w:szCs w:val="24"/>
        </w:rPr>
        <w:lastRenderedPageBreak/>
        <w:t xml:space="preserve">Solution, Cellulosic solutions [e.g. </w:t>
      </w:r>
      <w:proofErr w:type="spellStart"/>
      <w:r w:rsidRPr="00912C1E">
        <w:rPr>
          <w:rFonts w:ascii="Times New Roman" w:hAnsi="Times New Roman" w:cs="Times New Roman"/>
          <w:sz w:val="24"/>
          <w:szCs w:val="24"/>
        </w:rPr>
        <w:t>hydroxypropylmethyl</w:t>
      </w:r>
      <w:proofErr w:type="spellEnd"/>
      <w:r w:rsidRPr="00912C1E">
        <w:rPr>
          <w:rFonts w:ascii="Times New Roman" w:hAnsi="Times New Roman" w:cs="Times New Roman"/>
          <w:sz w:val="24"/>
          <w:szCs w:val="24"/>
        </w:rPr>
        <w:t xml:space="preserve"> cellulose (HPMC) AND Polyvinyl </w:t>
      </w:r>
      <w:proofErr w:type="spellStart"/>
      <w:r w:rsidRPr="00912C1E">
        <w:rPr>
          <w:rFonts w:ascii="Times New Roman" w:hAnsi="Times New Roman" w:cs="Times New Roman"/>
          <w:sz w:val="24"/>
          <w:szCs w:val="24"/>
        </w:rPr>
        <w:t>pyrrolidine</w:t>
      </w:r>
      <w:proofErr w:type="spellEnd"/>
      <w:r w:rsidRPr="00912C1E">
        <w:rPr>
          <w:rFonts w:ascii="Times New Roman" w:hAnsi="Times New Roman" w:cs="Times New Roman"/>
          <w:sz w:val="24"/>
          <w:szCs w:val="24"/>
        </w:rPr>
        <w:t>. Though no specific percentage use of HPMC is given but the general quantity of binder is used is in between 10% and 20%. In the present invention it is coming around 13% which is within the range as disclosed in D6. Therefore it is not clear on the claim of the patentee that the present invention is using lower amount of excipients compared to prior art. Compared to the examples of D1 and D2 the present invention is undoubtedly using the lower amount of excipient [</w:t>
      </w:r>
      <w:proofErr w:type="spellStart"/>
      <w:r w:rsidRPr="00912C1E">
        <w:rPr>
          <w:rFonts w:ascii="Times New Roman" w:hAnsi="Times New Roman" w:cs="Times New Roman"/>
          <w:sz w:val="24"/>
          <w:szCs w:val="24"/>
        </w:rPr>
        <w:t>i.e</w:t>
      </w:r>
      <w:proofErr w:type="spellEnd"/>
      <w:r w:rsidRPr="00912C1E">
        <w:rPr>
          <w:rFonts w:ascii="Times New Roman" w:hAnsi="Times New Roman" w:cs="Times New Roman"/>
          <w:sz w:val="24"/>
          <w:szCs w:val="24"/>
        </w:rPr>
        <w:t xml:space="preserve"> reduced from 18% to 13%] but still within the recommended range of the prior art. Had the patentee’s range has gone out of the prior art range then inventive step could have been established. Since it is shown within the preferred range of the prior art it can be concluded that there is no inventive step as far as this portion of claim is concerned. Even if it is concluded to be inventive through the eyes of the patentee that a reduction in the amount of binder but still within the known ranges of the prior art then there shall be a reference to failure analysis or comparative technical analysis in the description of the granted specification which shall undoubtedly points towards the inventiveness. Even the granted specification is silent on any relationship between abrasive resistance and friability versus the amount preferably lower amount of the binder [or of any other excipient]. Further in page 4 of the granted specification it is stated by the patentee that binders include but are not restricted to starches……The patentee’s argument is not clear on the relation between the properties [such as pharmacodynamics properties] of the active versus the selection of a suitable binder and use of binder in lower quantity than what is taught in the prior art. This conclusion is made because the granted specification is silent on the relation between the nature of the binder and the w/w percentage of the binder of the total weight of the tablet versus the properties of the active. Further in column 2 of page 318 of D7, it is stated under the caption “Effect of binding agents” that, “Binding agents are incorporated into tablets during granulation in order to improve the </w:t>
      </w:r>
      <w:proofErr w:type="spellStart"/>
      <w:r w:rsidRPr="00912C1E">
        <w:rPr>
          <w:rFonts w:ascii="Times New Roman" w:hAnsi="Times New Roman" w:cs="Times New Roman"/>
          <w:sz w:val="24"/>
          <w:szCs w:val="24"/>
        </w:rPr>
        <w:t>flowability</w:t>
      </w:r>
      <w:proofErr w:type="spellEnd"/>
      <w:r w:rsidRPr="00912C1E">
        <w:rPr>
          <w:rFonts w:ascii="Times New Roman" w:hAnsi="Times New Roman" w:cs="Times New Roman"/>
          <w:sz w:val="24"/>
          <w:szCs w:val="24"/>
        </w:rPr>
        <w:t xml:space="preserve"> of the drug and to enhance compressibility. These agents coat the drug particles and therefore the rate of solution of the binder in water can determine the release rate from the tableted drug. Wells (1980) measured the dissolution rates of </w:t>
      </w:r>
      <w:proofErr w:type="spellStart"/>
      <w:r w:rsidRPr="00912C1E">
        <w:rPr>
          <w:rFonts w:ascii="Times New Roman" w:hAnsi="Times New Roman" w:cs="Times New Roman"/>
          <w:sz w:val="24"/>
          <w:szCs w:val="24"/>
        </w:rPr>
        <w:t>chlorpropamide</w:t>
      </w:r>
      <w:proofErr w:type="spellEnd"/>
      <w:r w:rsidRPr="00912C1E">
        <w:rPr>
          <w:rFonts w:ascii="Times New Roman" w:hAnsi="Times New Roman" w:cs="Times New Roman"/>
          <w:sz w:val="24"/>
          <w:szCs w:val="24"/>
        </w:rPr>
        <w:t xml:space="preserve">, tablets containing starch, </w:t>
      </w:r>
      <w:proofErr w:type="spellStart"/>
      <w:r w:rsidRPr="00912C1E">
        <w:rPr>
          <w:rFonts w:ascii="Times New Roman" w:hAnsi="Times New Roman" w:cs="Times New Roman"/>
          <w:sz w:val="24"/>
          <w:szCs w:val="24"/>
        </w:rPr>
        <w:t>hydrolysed</w:t>
      </w:r>
      <w:proofErr w:type="spellEnd"/>
      <w:r w:rsidRPr="00912C1E">
        <w:rPr>
          <w:rFonts w:ascii="Times New Roman" w:hAnsi="Times New Roman" w:cs="Times New Roman"/>
          <w:sz w:val="24"/>
          <w:szCs w:val="24"/>
        </w:rPr>
        <w:t xml:space="preserve"> gelatin, </w:t>
      </w:r>
      <w:proofErr w:type="spellStart"/>
      <w:r w:rsidRPr="00912C1E">
        <w:rPr>
          <w:rFonts w:ascii="Times New Roman" w:hAnsi="Times New Roman" w:cs="Times New Roman"/>
          <w:sz w:val="24"/>
          <w:szCs w:val="24"/>
        </w:rPr>
        <w:t>methylhydroxyethyl</w:t>
      </w:r>
      <w:proofErr w:type="spellEnd"/>
      <w:r w:rsidRPr="00912C1E">
        <w:rPr>
          <w:rFonts w:ascii="Times New Roman" w:hAnsi="Times New Roman" w:cs="Times New Roman"/>
          <w:sz w:val="24"/>
          <w:szCs w:val="24"/>
        </w:rPr>
        <w:t xml:space="preserve"> cellulose (MHEC) and </w:t>
      </w:r>
      <w:proofErr w:type="spellStart"/>
      <w:r w:rsidRPr="00912C1E">
        <w:rPr>
          <w:rFonts w:ascii="Times New Roman" w:hAnsi="Times New Roman" w:cs="Times New Roman"/>
          <w:sz w:val="24"/>
          <w:szCs w:val="24"/>
        </w:rPr>
        <w:t>pollyvinylpyrrolidine</w:t>
      </w:r>
      <w:proofErr w:type="spellEnd"/>
      <w:r w:rsidRPr="00912C1E">
        <w:rPr>
          <w:rFonts w:ascii="Times New Roman" w:hAnsi="Times New Roman" w:cs="Times New Roman"/>
          <w:sz w:val="24"/>
          <w:szCs w:val="24"/>
        </w:rPr>
        <w:t xml:space="preserve"> (PVP) as binders. It was found that tablets containing soluble binders (</w:t>
      </w:r>
      <w:proofErr w:type="spellStart"/>
      <w:r w:rsidRPr="00912C1E">
        <w:rPr>
          <w:rFonts w:ascii="Times New Roman" w:hAnsi="Times New Roman" w:cs="Times New Roman"/>
          <w:sz w:val="24"/>
          <w:szCs w:val="24"/>
        </w:rPr>
        <w:t>hydrolysed</w:t>
      </w:r>
      <w:proofErr w:type="spellEnd"/>
      <w:r w:rsidRPr="00912C1E">
        <w:rPr>
          <w:rFonts w:ascii="Times New Roman" w:hAnsi="Times New Roman" w:cs="Times New Roman"/>
          <w:sz w:val="24"/>
          <w:szCs w:val="24"/>
        </w:rPr>
        <w:t xml:space="preserve"> gelatin and PVP) had rapid dissolution rates whereas slow and incomplete disintegration of tablets formulated with starch paste led to protracted release of drug. MHEC produced </w:t>
      </w:r>
      <w:proofErr w:type="spellStart"/>
      <w:r w:rsidRPr="00912C1E">
        <w:rPr>
          <w:rFonts w:ascii="Times New Roman" w:hAnsi="Times New Roman" w:cs="Times New Roman"/>
          <w:sz w:val="24"/>
          <w:szCs w:val="24"/>
        </w:rPr>
        <w:t>macrogranular</w:t>
      </w:r>
      <w:proofErr w:type="spellEnd"/>
      <w:r w:rsidRPr="00912C1E">
        <w:rPr>
          <w:rFonts w:ascii="Times New Roman" w:hAnsi="Times New Roman" w:cs="Times New Roman"/>
          <w:sz w:val="24"/>
          <w:szCs w:val="24"/>
        </w:rPr>
        <w:t xml:space="preserve"> breakdown which gave rise to very low release rates.” This disclosure to some extent teaches the relation between the active and the binder to be selected to achieve the desired property/</w:t>
      </w:r>
      <w:proofErr w:type="spellStart"/>
      <w:r w:rsidRPr="00912C1E">
        <w:rPr>
          <w:rFonts w:ascii="Times New Roman" w:hAnsi="Times New Roman" w:cs="Times New Roman"/>
          <w:sz w:val="24"/>
          <w:szCs w:val="24"/>
        </w:rPr>
        <w:t>ies</w:t>
      </w:r>
      <w:proofErr w:type="spellEnd"/>
      <w:r w:rsidRPr="00912C1E">
        <w:rPr>
          <w:rFonts w:ascii="Times New Roman" w:hAnsi="Times New Roman" w:cs="Times New Roman"/>
          <w:sz w:val="24"/>
          <w:szCs w:val="24"/>
        </w:rPr>
        <w:t xml:space="preserve"> of the tablet to be formulated. The patentee’s specification discloses references to the selection and choices of the excipients and further, especially with respect to binders, states that the binders to be used in the present invention includes but not restricted to starches. Hence a person skilled in the art can choose any binder that is known in the prior art. This will lead into the conclusion that any person skilled in the art can chose any known binder and by trial and error method may conclude on the minimum requirement of the binder for the preparation of a high drug load tablet comprising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of the impugned patent. In conclusion the API, herein it is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which is not an antibiotic and therefore wet granulation method can be followed without any limitation. Though the particle size of the API as claimed in the present invention as above 100 micro meters no citation has taught any </w:t>
      </w:r>
      <w:r w:rsidRPr="00912C1E">
        <w:rPr>
          <w:rFonts w:ascii="Times New Roman" w:hAnsi="Times New Roman" w:cs="Times New Roman"/>
          <w:sz w:val="24"/>
          <w:szCs w:val="24"/>
        </w:rPr>
        <w:lastRenderedPageBreak/>
        <w:t xml:space="preserve">limitation on the particle sizes of the ingredients, in fact of any of the ingredients, but teaches on how to control the sizes of the granules that are to be formed. The size of the final granules for the compression may be selected depending upon the end intentions of the preparation of the tablets. Prior art teaches the wet granulation process as the most preferred process for the high drug load tablets which is beyond the dispute. The argument as put forward by the patentee that the tablets according to the present invention uses lower amount of excipients and still overcoming the problems like high abrasive resistance and lower friability are unfounded because the patentee is indeed using the binders and probably the other excipients in the ranges as disclosed in the prior art. Irrespective of the relative percentages of the ingredients the size and perhaps the shape of a tablet depends upon the total weight of the tablet. Since inventive concept was not argued on the size and shape of the tablet no inference is possible on this line of thinking. Hence it is concluded that the invention as alleged by the patentee lacks inventive step.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ARGUMENTS UNDER SECTION 25 (2) (f):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Having argued on inventive step the agent for the opponent has stated that the present invention does not meet the requirements of the Section 2(1</w:t>
      </w:r>
      <w:proofErr w:type="gramStart"/>
      <w:r w:rsidRPr="00912C1E">
        <w:rPr>
          <w:rFonts w:ascii="Times New Roman" w:hAnsi="Times New Roman" w:cs="Times New Roman"/>
          <w:sz w:val="24"/>
          <w:szCs w:val="24"/>
        </w:rPr>
        <w:t>)(</w:t>
      </w:r>
      <w:proofErr w:type="spellStart"/>
      <w:proofErr w:type="gramEnd"/>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xml:space="preserve">) of the Patents Act since the present invention does not show any technical advancement or economic significance. It was stated that the granted specification is silent on these aspects. Further it was argued that the present set of granted claims attracts the provisions of the Section 3(d) as the process of the patentee is by a known process that is wet granulation method wherein the starting materials are known and the end product that is tablet comprising the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is available in the market before the priority date as admitted by the patentee. With reference to claim 13 it was argued that the said claims attracts the provisions of the Section 3(e) of the Act since claim 13 relates to a pharmaceutical formulation i.e. tablet prepared by the claimed process. It is stated that the tablet does not have any synergistic effect compared to the available formulations of the same active other than being patient compliant. Moreover the patentee has admitted that the amount and type of excipients are chosen by routine experimentation. Hence it was prayed to revoke the patent on this ground of opposition also. Denying the arguments made by the opponent, the agent for the patentee has stated that the patentee’s invention does not fall under Section 25(2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f) and satisfies all the criteria of patentability thus meeting the requirements of the Patents Act. Refuting the arguments made by the opponent on the Section 2(1)(</w:t>
      </w:r>
      <w:proofErr w:type="spellStart"/>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xml:space="preserve">) of the Patents Act, the agent for the patentee has stated that it would be remote to take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and prepare a high drug load tablet when starting from the available prior art. Full bioequivalence of tablets versus capsules is not obvious. The patentee has stated that this limitation of achieving the bioequivalence is indeed a technical advancement. According to the Section 2(1</w:t>
      </w:r>
      <w:proofErr w:type="gramStart"/>
      <w:r w:rsidRPr="00912C1E">
        <w:rPr>
          <w:rFonts w:ascii="Times New Roman" w:hAnsi="Times New Roman" w:cs="Times New Roman"/>
          <w:sz w:val="24"/>
          <w:szCs w:val="24"/>
        </w:rPr>
        <w:t>)(</w:t>
      </w:r>
      <w:proofErr w:type="spellStart"/>
      <w:proofErr w:type="gramEnd"/>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xml:space="preserve">) of the Act any of the criteria shall be fulfilled i.e. either technical advancement or economic significance or both. Here the patentee has shown the technical advancement hence the criterion is fulfilled. It was further stated that the present invention provides a single tablet with high potency which is smaller in size, convenient to administer, limited friability, increased abrasion resistance and enhanced bioavailability thereby making the treatment very efficient. The agent of the patentee has stated that the claim 13 is an allowable claim on the ground that the claim 13 is related to a tablet but not to any formulation and is a product-by-process claim. Further it was stated that </w:t>
      </w:r>
      <w:r w:rsidRPr="00912C1E">
        <w:rPr>
          <w:rFonts w:ascii="Times New Roman" w:hAnsi="Times New Roman" w:cs="Times New Roman"/>
          <w:sz w:val="24"/>
          <w:szCs w:val="24"/>
        </w:rPr>
        <w:lastRenderedPageBreak/>
        <w:t xml:space="preserve">the said claim is related to a novel tablet that comprises a higher amount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Therefore the provisions of the Section 3(d) do not apply. It was further argued that the provisions of the Section 3(e) do not apply to the tablet as claimed in claim 13 as the said claim 13 does not claim any composition which exhibits the aggregate properties of the ingredients. The claim 13 is related to a finished product in the form of a tablet that contains hitherto unknown larger amount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This novel tablet exhibits the bioequivalence equal to the capsule of higher drug load. This character is unique to the tablet of the invention which is clearly outside the scope of the Section 3(e) of the Patents Act. Having proved the facts it was prayed to dismiss the opposition and upheld the patent granted to the patentee. Section 2(1)(j) of the Act is reproduced herewith; “inventive step” means a feature of invention that involves technical advance as compared to the existing knowledge or having economic significance or both AND that makes the invention not obvious to a person skilled in the art.” Agreeing to the patentee’s view that if one of the criteria of the first part of the definition of inventive step is fulfilled then it can be concluded as meeting the requirement of the Act is partly fulfilled. Assuming that the patentee has achieved the bioequivalence at par with the capsules then it can be concluded that there is technical advancement over the existing art. In the second paragraph in page 11 of the granted specification it is stated by the patentee that, “The tablets of the invention e.g., the 100 and 400 mg tablets, are bioequivalent with the marketed </w:t>
      </w:r>
      <w:proofErr w:type="spellStart"/>
      <w:r w:rsidRPr="00912C1E">
        <w:rPr>
          <w:rFonts w:ascii="Times New Roman" w:hAnsi="Times New Roman" w:cs="Times New Roman"/>
          <w:sz w:val="24"/>
          <w:szCs w:val="24"/>
        </w:rPr>
        <w:t>gelatine</w:t>
      </w:r>
      <w:proofErr w:type="spellEnd"/>
      <w:r w:rsidRPr="00912C1E">
        <w:rPr>
          <w:rFonts w:ascii="Times New Roman" w:hAnsi="Times New Roman" w:cs="Times New Roman"/>
          <w:sz w:val="24"/>
          <w:szCs w:val="24"/>
        </w:rPr>
        <w:t xml:space="preserve"> capsules (100 mg) of Compound I. The administration of 400 mg of Compound I in hard </w:t>
      </w:r>
      <w:proofErr w:type="spellStart"/>
      <w:r w:rsidRPr="00912C1E">
        <w:rPr>
          <w:rFonts w:ascii="Times New Roman" w:hAnsi="Times New Roman" w:cs="Times New Roman"/>
          <w:sz w:val="24"/>
          <w:szCs w:val="24"/>
        </w:rPr>
        <w:t>gelatine</w:t>
      </w:r>
      <w:proofErr w:type="spellEnd"/>
      <w:r w:rsidRPr="00912C1E">
        <w:rPr>
          <w:rFonts w:ascii="Times New Roman" w:hAnsi="Times New Roman" w:cs="Times New Roman"/>
          <w:sz w:val="24"/>
          <w:szCs w:val="24"/>
        </w:rPr>
        <w:t xml:space="preserve"> capsules (4 X 100 mg) in the form of a single film coated tablet is well tolerated”. Except this statement, no justification has been provided by the patentee on equating the bioequivalence between the tablets of the invention and high drug loaded capsules or any other kind of capsules. These types of mere statements are not acceptable except they are established by the way of examples. Even if it is agreed that the patentee has achieved the bioequivalence of the tablets of the invention with the marketed capsules still the invention of the granted specification does not involve any inventive step for the reasons as outlined under the conclusions made under the previous ground of opposition. Section 3(d) of the Act is reproduced herewith; “the mere discovery of a new form of a known substance which does not result in the enhancement of the known efficacy of that substance or the mere discovery of any new property or new use for a known substance or of the mere use of a known process, machine or apparatus unless such known process results in a new product or employs at least one new reactant”. Since claim 13 is related to a tablet comprising high drug load of </w:t>
      </w:r>
      <w:proofErr w:type="spellStart"/>
      <w:r w:rsidRPr="00912C1E">
        <w:rPr>
          <w:rFonts w:ascii="Times New Roman" w:hAnsi="Times New Roman" w:cs="Times New Roman"/>
          <w:sz w:val="24"/>
          <w:szCs w:val="24"/>
        </w:rPr>
        <w:t>Imatinib</w:t>
      </w:r>
      <w:proofErr w:type="spellEnd"/>
      <w:r w:rsidRPr="00912C1E">
        <w:rPr>
          <w:rFonts w:ascii="Times New Roman" w:hAnsi="Times New Roman" w:cs="Times New Roman"/>
          <w:sz w:val="24"/>
          <w:szCs w:val="24"/>
        </w:rPr>
        <w:t xml:space="preserve"> and Novelty issue was not raised, it is concluded that the tablet of the invention is Novel. Once it is established that the end product is novel then the provisions of the Section 3(d) do not apply. Section 3(e) of the Act is reproduced herewith; “a substance obtained by a mere admixture resulting only in the aggregation of the properties of the components thereof or a process for producing such substance”. It is clear from the above definition that the end product must be obtained only by admixing without further processing. In the present invention it is not a simple admixture but a process is involved wherein cohesion and adhesion are achieved. Granules are prepared and so on. Therefore it is agreed with the patentee that the claim 13 does not attract the provisions of the Section 3(e) of the Act. Having not meeting the requirements of the Section 2(1</w:t>
      </w:r>
      <w:proofErr w:type="gramStart"/>
      <w:r w:rsidRPr="00912C1E">
        <w:rPr>
          <w:rFonts w:ascii="Times New Roman" w:hAnsi="Times New Roman" w:cs="Times New Roman"/>
          <w:sz w:val="24"/>
          <w:szCs w:val="24"/>
        </w:rPr>
        <w:t>)(</w:t>
      </w:r>
      <w:proofErr w:type="spellStart"/>
      <w:proofErr w:type="gramEnd"/>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xml:space="preserve">) of the Patents Act the opponent has succeeded in the present ground of opposition.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lastRenderedPageBreak/>
        <w:t xml:space="preserve">ARGUMENTS UNDER SECTION 25 (2) (g):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agent for the opponent has stated that none of the working examples in the specification describe the process and the reaction conditions. The only reference to the process is found in paragraphs below the tables which merely state that the tablet was prepared by wet granulation with subsequent steps of mixing and compressing. When the claims are related to a process then process parameters shall be disclosed in unambiguous terms. Since both the description and claims devoid of a clear and unambiguous process there is an insufficient disclosure and working of the impugned invention as claimed in the claims. It is further stated that if one were go to by the patentee’s assertions that the said wet granulation method claimed is not part of the prior art then in that case the specification is devoid of those parameters and would leave a person guessing as to the suitability of the process disclosed in the impugned patent. Thus, admittedly, the invention claimed in the impugned patent leaves a lot to trial and error and in fact discloses little. Not accepting the above argument, the agent for the patentee has stated that there is an extensive teaching in the patent as granted with regard to the manufacturing of such a tablet. Example 1 at page 11 of the granted specification describes about the tablet formulation of 100 mg of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and Example 2 at page 12 of the granted specification describes about the tablet formulation of 400 mg of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Therefore it was stated that the invention is sufficiently described with enough examples to enable a person skilled in the art to </w:t>
      </w:r>
      <w:proofErr w:type="spellStart"/>
      <w:r w:rsidRPr="00912C1E">
        <w:rPr>
          <w:rFonts w:ascii="Times New Roman" w:hAnsi="Times New Roman" w:cs="Times New Roman"/>
          <w:sz w:val="24"/>
          <w:szCs w:val="24"/>
        </w:rPr>
        <w:t>practise</w:t>
      </w:r>
      <w:proofErr w:type="spellEnd"/>
      <w:r w:rsidRPr="00912C1E">
        <w:rPr>
          <w:rFonts w:ascii="Times New Roman" w:hAnsi="Times New Roman" w:cs="Times New Roman"/>
          <w:sz w:val="24"/>
          <w:szCs w:val="24"/>
        </w:rPr>
        <w:t xml:space="preserve"> the invention. If any objection is raised on this ground the opponent ought to prove the same. The allegation made is unsubstantiated and is therefore liable to be rejected. The teaching of the process according to the granted specification is discussed as herein below: According to the granted specification the prime need as defined by the patentee is to provide an oral dosage form which is convenient to administer and provide a required daily dosage amount of Compound I. Therefore the invention is related to a tablet comprising the high drug load of compound I or its salt form or any crystalline form thereof. With respect to Compound I a reference has been made to European Patent Application 0564409 and crystalline forms of Compound I are referred to International Patent Application, published under reference number WO 99/03854. A bunch of references in page 3 of the granted specification have been made with respect to the properties, choices of the excipients that are needed to be used in the present invention. Accordingly a list of binders,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glidants</w:t>
      </w:r>
      <w:proofErr w:type="spellEnd"/>
      <w:r w:rsidRPr="00912C1E">
        <w:rPr>
          <w:rFonts w:ascii="Times New Roman" w:hAnsi="Times New Roman" w:cs="Times New Roman"/>
          <w:sz w:val="24"/>
          <w:szCs w:val="24"/>
        </w:rPr>
        <w:t xml:space="preserve">, and lubricants has been provided which are preferentially used. Therefore it can be understood that as far as the active and excipients are concerned there is a sufficient disclosure in the granted specification. Next question is on whether the process for making the tablets of the invention is sufficiently disclosed or not. Examples one and two teach the amount of ingredients for the preparation of 100 mg and 400 mg tablets respectively. The next question comes on process parameters. It was stated in page 5 of the granted specification thus, “the present inventors have encountered difficulties in the production of Compound I tablets due to high friability values and poor abrasion resistance. Further, the flexibility in the quantity of excipients, e.g.,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is limited due to the high drug load of the product. Thus there still exists a need for commercially acceptable Compound I dosage form for oral administration with good patient convenience and acceptance.” In the subsequent paragraph of the granted specification it is disclosed that the inventors have unexpectedly found that compression methods, preferably granulation methods, most preferably wet granulation method followed </w:t>
      </w:r>
      <w:r w:rsidRPr="00912C1E">
        <w:rPr>
          <w:rFonts w:ascii="Times New Roman" w:hAnsi="Times New Roman" w:cs="Times New Roman"/>
          <w:sz w:val="24"/>
          <w:szCs w:val="24"/>
        </w:rPr>
        <w:lastRenderedPageBreak/>
        <w:t xml:space="preserve">by compression are suitable for the preparation of the tablets of the invention. Further it was stated that the Compound I, especially the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salt, exhibits high particle size, e.g., 60% of the Compound I starting material having a particle size greater or equal to 100 micro </w:t>
      </w:r>
      <w:proofErr w:type="gramStart"/>
      <w:r w:rsidRPr="00912C1E">
        <w:rPr>
          <w:rFonts w:ascii="Times New Roman" w:hAnsi="Times New Roman" w:cs="Times New Roman"/>
          <w:sz w:val="24"/>
          <w:szCs w:val="24"/>
        </w:rPr>
        <w:t>meter</w:t>
      </w:r>
      <w:proofErr w:type="gramEnd"/>
      <w:r w:rsidRPr="00912C1E">
        <w:rPr>
          <w:rFonts w:ascii="Times New Roman" w:hAnsi="Times New Roman" w:cs="Times New Roman"/>
          <w:sz w:val="24"/>
          <w:szCs w:val="24"/>
        </w:rPr>
        <w:t xml:space="preserve"> e.g., 90% of the particles are smaller or equal to 420 micro meters. Wet granulation process is usually performed with a starting material of particle size lower than 100 micro meters. Therefore after reading the above teaching in the specification one can conclude that the inventors ought to have done some process change which ought to be inventive in the well-known wet granulation process so as to suit the known process to prepare the tablets of the invention. It is stated in page 6 of the granted patent thus, “Accordingly, the present invention provides for tablets containing an amount of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e.g.,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alpha crystal form and/or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beta crystal form, equal to 100 mg and or 400 mg of Compound I free base. Most preferably, the Compound I </w:t>
      </w:r>
      <w:proofErr w:type="spellStart"/>
      <w:r w:rsidRPr="00912C1E">
        <w:rPr>
          <w:rFonts w:ascii="Times New Roman" w:hAnsi="Times New Roman" w:cs="Times New Roman"/>
          <w:sz w:val="24"/>
          <w:szCs w:val="24"/>
        </w:rPr>
        <w:t>mesylate</w:t>
      </w:r>
      <w:proofErr w:type="spellEnd"/>
      <w:r w:rsidRPr="00912C1E">
        <w:rPr>
          <w:rFonts w:ascii="Times New Roman" w:hAnsi="Times New Roman" w:cs="Times New Roman"/>
          <w:sz w:val="24"/>
          <w:szCs w:val="24"/>
        </w:rPr>
        <w:t xml:space="preserve"> form used for the tablet according to the invention is the beta crystal form. According to the invention, the process for the preparation of the tablets consists in forming an inner phase, mixing it together with an outer phase, compressing the obtained mixture and optionally coating the tablet. The inner phase comprises Compound I and one or more excipients, more preferably one or more binders and most preferably the amount of one or more binders in the inner phase is ranging from about 1 to 30%, preferably 1 to 20% and more preferably 1 to 15%. The binders of the inner phase according to the invention are preferably microcrystalline cellulose and </w:t>
      </w:r>
      <w:proofErr w:type="spellStart"/>
      <w:r w:rsidRPr="00912C1E">
        <w:rPr>
          <w:rFonts w:ascii="Times New Roman" w:hAnsi="Times New Roman" w:cs="Times New Roman"/>
          <w:sz w:val="24"/>
          <w:szCs w:val="24"/>
        </w:rPr>
        <w:t>hydroxypropylmethyl</w:t>
      </w:r>
      <w:proofErr w:type="spellEnd"/>
      <w:r w:rsidRPr="00912C1E">
        <w:rPr>
          <w:rFonts w:ascii="Times New Roman" w:hAnsi="Times New Roman" w:cs="Times New Roman"/>
          <w:sz w:val="24"/>
          <w:szCs w:val="24"/>
        </w:rPr>
        <w:t xml:space="preserve"> cellulose. The amount of microcrystalline cellulose in the inner phase may vary from about 10 to 29%, in particular 12 to 14% in weight based on the total weight of the tablet. The amount of </w:t>
      </w:r>
      <w:proofErr w:type="spellStart"/>
      <w:r w:rsidRPr="00912C1E">
        <w:rPr>
          <w:rFonts w:ascii="Times New Roman" w:hAnsi="Times New Roman" w:cs="Times New Roman"/>
          <w:sz w:val="24"/>
          <w:szCs w:val="24"/>
        </w:rPr>
        <w:t>hydroxypropylmethyl</w:t>
      </w:r>
      <w:proofErr w:type="spellEnd"/>
      <w:r w:rsidRPr="00912C1E">
        <w:rPr>
          <w:rFonts w:ascii="Times New Roman" w:hAnsi="Times New Roman" w:cs="Times New Roman"/>
          <w:sz w:val="24"/>
          <w:szCs w:val="24"/>
        </w:rPr>
        <w:t xml:space="preserve"> cellulose in the inner phase may vary from 1 to 5%, preferably 1 to 2% in weight based on the total weight of the tablet. The Compound I and the pharmaceutically acceptable excipients of the inner phase are mixed together with water and the mixture is processed for granulation, e.g., using a wet high </w:t>
      </w:r>
      <w:proofErr w:type="gramStart"/>
      <w:r w:rsidRPr="00912C1E">
        <w:rPr>
          <w:rFonts w:ascii="Times New Roman" w:hAnsi="Times New Roman" w:cs="Times New Roman"/>
          <w:sz w:val="24"/>
          <w:szCs w:val="24"/>
        </w:rPr>
        <w:t>shear</w:t>
      </w:r>
      <w:proofErr w:type="gramEnd"/>
      <w:r w:rsidRPr="00912C1E">
        <w:rPr>
          <w:rFonts w:ascii="Times New Roman" w:hAnsi="Times New Roman" w:cs="Times New Roman"/>
          <w:sz w:val="24"/>
          <w:szCs w:val="24"/>
        </w:rPr>
        <w:t xml:space="preserve"> granulator to form the wet granules. The wet granulates may be then, dried, e.g., using a fluid bed drier. The outer phase consists in a mixer of the inner phase with one or more excipients. The inner phase and one or more excipients of the outer phase are mixed together using e.g., a diffusion mixer. Preferably one or more binders are added. Most preferably cellulose microcrystalline is added. Even more preferably, microcrystalline cellulose s added in the range of 1 to 10% in weight based on the total weight of the tablet. In a preferred embodiment of the invention, in the outer phase, the amount of microcrystalline cellulose is around 5% in weight based on the total weight of the tablet. The outer phase according to the invention may also contain one or more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most preferably </w:t>
      </w:r>
      <w:proofErr w:type="spellStart"/>
      <w:r w:rsidRPr="00912C1E">
        <w:rPr>
          <w:rFonts w:ascii="Times New Roman" w:hAnsi="Times New Roman" w:cs="Times New Roman"/>
          <w:sz w:val="24"/>
          <w:szCs w:val="24"/>
        </w:rPr>
        <w:t>Crospovidone</w:t>
      </w:r>
      <w:proofErr w:type="spellEnd"/>
      <w:r w:rsidRPr="00912C1E">
        <w:rPr>
          <w:rFonts w:ascii="Times New Roman" w:hAnsi="Times New Roman" w:cs="Times New Roman"/>
          <w:sz w:val="24"/>
          <w:szCs w:val="24"/>
        </w:rPr>
        <w:t xml:space="preserve">. In a preferred embodiment, the amount of </w:t>
      </w:r>
      <w:proofErr w:type="spellStart"/>
      <w:r w:rsidRPr="00912C1E">
        <w:rPr>
          <w:rFonts w:ascii="Times New Roman" w:hAnsi="Times New Roman" w:cs="Times New Roman"/>
          <w:sz w:val="24"/>
          <w:szCs w:val="24"/>
        </w:rPr>
        <w:t>disintegrant</w:t>
      </w:r>
      <w:proofErr w:type="spellEnd"/>
      <w:r w:rsidRPr="00912C1E">
        <w:rPr>
          <w:rFonts w:ascii="Times New Roman" w:hAnsi="Times New Roman" w:cs="Times New Roman"/>
          <w:sz w:val="24"/>
          <w:szCs w:val="24"/>
        </w:rPr>
        <w:t xml:space="preserve"> in the outer phase is ranging from about 10 to 30%, preferably 12 to 25%, most preferably about 15%. In a particular aspect of the invention, one or more </w:t>
      </w:r>
      <w:proofErr w:type="spellStart"/>
      <w:r w:rsidRPr="00912C1E">
        <w:rPr>
          <w:rFonts w:ascii="Times New Roman" w:hAnsi="Times New Roman" w:cs="Times New Roman"/>
          <w:sz w:val="24"/>
          <w:szCs w:val="24"/>
        </w:rPr>
        <w:t>glidants</w:t>
      </w:r>
      <w:proofErr w:type="spellEnd"/>
      <w:r w:rsidRPr="00912C1E">
        <w:rPr>
          <w:rFonts w:ascii="Times New Roman" w:hAnsi="Times New Roman" w:cs="Times New Roman"/>
          <w:sz w:val="24"/>
          <w:szCs w:val="24"/>
        </w:rPr>
        <w:t xml:space="preserve"> are incorporated into the outer phase. According to the invention, one or more lubricants are incorporated into the outer phase. In a further aspect of the invention, tablets are performed by compression of the mixture of the inner and the outer phases using e.g., a tablet press. Optionally, the tablets may be coated. In the pages 7 and 8 of the granted specification the process embodiment of the invention has been described thus: The first embodiment: (a) Forming an inner phase comprising (i) Mixing the Compound I together with pharmaceutically acceptable excipients (ii) Wet granulating (b) Forming an outer phase comprising (iii) Adding further </w:t>
      </w:r>
      <w:r w:rsidRPr="00912C1E">
        <w:rPr>
          <w:rFonts w:ascii="Times New Roman" w:hAnsi="Times New Roman" w:cs="Times New Roman"/>
          <w:sz w:val="24"/>
          <w:szCs w:val="24"/>
        </w:rPr>
        <w:lastRenderedPageBreak/>
        <w:t xml:space="preserve">pharmaceutically acceptable excipients to the inner phase and mixing (c) forming the tablet by (iv) compressing the mixture obtained in step (iii) and, optionally (d) coating. The second embodiment: (i) mixing the Compound I and pharmaceutically acceptable excipients, e.g., one or more binders, e.g., microcrystalline cellulose, in a high shear mixer; (ii) adding water, subjecting the mixture to wetting/kneading, e.g., in a high shear mixer; (iii) adding pharmaceutically acceptable excipients, e.g., sieved excipients, such as one or more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xml:space="preserve">, e.g., </w:t>
      </w:r>
      <w:proofErr w:type="spellStart"/>
      <w:r w:rsidRPr="00912C1E">
        <w:rPr>
          <w:rFonts w:ascii="Times New Roman" w:hAnsi="Times New Roman" w:cs="Times New Roman"/>
          <w:sz w:val="24"/>
          <w:szCs w:val="24"/>
        </w:rPr>
        <w:t>Crospovidone</w:t>
      </w:r>
      <w:proofErr w:type="spellEnd"/>
      <w:r w:rsidRPr="00912C1E">
        <w:rPr>
          <w:rFonts w:ascii="Times New Roman" w:hAnsi="Times New Roman" w:cs="Times New Roman"/>
          <w:sz w:val="24"/>
          <w:szCs w:val="24"/>
        </w:rPr>
        <w:t xml:space="preserve">, one or more binders, e.g., microcrystalline cellulose, one or more </w:t>
      </w:r>
      <w:proofErr w:type="spellStart"/>
      <w:r w:rsidRPr="00912C1E">
        <w:rPr>
          <w:rFonts w:ascii="Times New Roman" w:hAnsi="Times New Roman" w:cs="Times New Roman"/>
          <w:sz w:val="24"/>
          <w:szCs w:val="24"/>
        </w:rPr>
        <w:t>glidant</w:t>
      </w:r>
      <w:proofErr w:type="spellEnd"/>
      <w:r w:rsidRPr="00912C1E">
        <w:rPr>
          <w:rFonts w:ascii="Times New Roman" w:hAnsi="Times New Roman" w:cs="Times New Roman"/>
          <w:sz w:val="24"/>
          <w:szCs w:val="24"/>
        </w:rPr>
        <w:t xml:space="preserve">, e.g., colloidal silicon dioxide, and mixing, e.g., in a diffusion mixer; (iv) adding pharmaceutically acceptable excipients such as one or more lubricant e.g., magnesium stearate, sieving e.g., hand sieving e.g., at 900 micro meter, and mixing e.g., in a diffusion mixer; (v) tableting the mixture obtained in step (iv) by compression e.g., in a conventional tablet press, e.g., in an EK-0 </w:t>
      </w:r>
      <w:proofErr w:type="spellStart"/>
      <w:r w:rsidRPr="00912C1E">
        <w:rPr>
          <w:rFonts w:ascii="Times New Roman" w:hAnsi="Times New Roman" w:cs="Times New Roman"/>
          <w:sz w:val="24"/>
          <w:szCs w:val="24"/>
        </w:rPr>
        <w:t>Korsch</w:t>
      </w:r>
      <w:proofErr w:type="spellEnd"/>
      <w:r w:rsidRPr="00912C1E">
        <w:rPr>
          <w:rFonts w:ascii="Times New Roman" w:hAnsi="Times New Roman" w:cs="Times New Roman"/>
          <w:sz w:val="24"/>
          <w:szCs w:val="24"/>
        </w:rPr>
        <w:t xml:space="preserve"> eccentric tableting machine or a rotary tableting machine, preferably a rotary machine and; (vi) coating, e.g., in a pan coater, e.g., </w:t>
      </w:r>
      <w:proofErr w:type="spellStart"/>
      <w:r w:rsidRPr="00912C1E">
        <w:rPr>
          <w:rFonts w:ascii="Times New Roman" w:hAnsi="Times New Roman" w:cs="Times New Roman"/>
          <w:sz w:val="24"/>
          <w:szCs w:val="24"/>
        </w:rPr>
        <w:t>Glatt</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Accela</w:t>
      </w:r>
      <w:proofErr w:type="spellEnd"/>
      <w:r w:rsidRPr="00912C1E">
        <w:rPr>
          <w:rFonts w:ascii="Times New Roman" w:hAnsi="Times New Roman" w:cs="Times New Roman"/>
          <w:sz w:val="24"/>
          <w:szCs w:val="24"/>
        </w:rPr>
        <w:t>. “</w:t>
      </w:r>
      <w:proofErr w:type="gramStart"/>
      <w:r w:rsidRPr="00912C1E">
        <w:rPr>
          <w:rFonts w:ascii="Times New Roman" w:hAnsi="Times New Roman" w:cs="Times New Roman"/>
          <w:sz w:val="24"/>
          <w:szCs w:val="24"/>
        </w:rPr>
        <w:t>core</w:t>
      </w:r>
      <w:proofErr w:type="gramEnd"/>
      <w:r w:rsidRPr="00912C1E">
        <w:rPr>
          <w:rFonts w:ascii="Times New Roman" w:hAnsi="Times New Roman" w:cs="Times New Roman"/>
          <w:sz w:val="24"/>
          <w:szCs w:val="24"/>
        </w:rPr>
        <w:t xml:space="preserve">” is defined as the granulate phase [steps (i) and (ii)] including the active drug Compound I and the outer phase consisting of the excipients. In the bridging paragraph of pages 8 and 9 of the granted specification it is stated thus, ”According to the invention, the coating process may be performed at low temperature, e.g., between 30 and 40 degree C, preferably between 32 and 39 degree C, most preferably at a temperature ranging from around 35 to around 38 degree C. The coating process may be performed with a spray rate preferably in the range of 30 to 105 g of coating dispersion per kg of cores per hour, preferably of 35 to 105 g. It has surprisingly been found that swelling of the </w:t>
      </w:r>
      <w:proofErr w:type="spellStart"/>
      <w:r w:rsidRPr="00912C1E">
        <w:rPr>
          <w:rFonts w:ascii="Times New Roman" w:hAnsi="Times New Roman" w:cs="Times New Roman"/>
          <w:sz w:val="24"/>
          <w:szCs w:val="24"/>
        </w:rPr>
        <w:t>disintegrants</w:t>
      </w:r>
      <w:proofErr w:type="spellEnd"/>
      <w:r w:rsidRPr="00912C1E">
        <w:rPr>
          <w:rFonts w:ascii="Times New Roman" w:hAnsi="Times New Roman" w:cs="Times New Roman"/>
          <w:sz w:val="24"/>
          <w:szCs w:val="24"/>
        </w:rPr>
        <w:t>, e.g.</w:t>
      </w:r>
      <w:proofErr w:type="gramStart"/>
      <w:r w:rsidRPr="00912C1E">
        <w:rPr>
          <w:rFonts w:ascii="Times New Roman" w:hAnsi="Times New Roman" w:cs="Times New Roman"/>
          <w:sz w:val="24"/>
          <w:szCs w:val="24"/>
        </w:rPr>
        <w:t>,</w:t>
      </w:r>
      <w:proofErr w:type="spellStart"/>
      <w:r w:rsidRPr="00912C1E">
        <w:rPr>
          <w:rFonts w:ascii="Times New Roman" w:hAnsi="Times New Roman" w:cs="Times New Roman"/>
          <w:sz w:val="24"/>
          <w:szCs w:val="24"/>
        </w:rPr>
        <w:t>Crospovidone</w:t>
      </w:r>
      <w:proofErr w:type="spellEnd"/>
      <w:proofErr w:type="gramEnd"/>
      <w:r w:rsidRPr="00912C1E">
        <w:rPr>
          <w:rFonts w:ascii="Times New Roman" w:hAnsi="Times New Roman" w:cs="Times New Roman"/>
          <w:sz w:val="24"/>
          <w:szCs w:val="24"/>
        </w:rPr>
        <w:t xml:space="preserve"> nor sticking of the cores occurred during spraying of the coating mixture, as it would be expected by the person skilled in the art by processing at low temperature.” It is further stated in page 4 of the granted specification that the excipients used in the present invention can be selected and used having regard to the particular desired properties of the tablet by routine experimentation. It is stated in paragraph 2 of page 9 of the granted specification that the tablets of the present invention exhibit improved abrasion resistance. The physical and chemical stability may be tested in conventional manner, e.g., the tablets may be tested as such by measurement of dissolution, friability, disintegration time, assay for Compound I degradation products, appearance and / or microscopy, e.g., after storage at room temperature, i.e., 25 degree C and / or storage at 40 degree C. It was further mentioned that the shape of the “core|” may vary, for example, round, oval, oblong, cylindrical or any other suitable shape. A characteristic of tablets according to the invention is their small size having regard to the amount of Compound I or Compound I salt contained therein. It is stated in the last paragraph of page 9 of the granted specification that the tablets of the invention comprising about 100 mg of Compound I may furthermore have a hardness of from about 30 to 140 N, e.g., 40 to 140 N, 30 to 100 N, 40 to 100N, preferably 50 to 80 N. The tablets of the invention comprising about 400 mg of Compound I may have a hardness of 100 to 270 N, e.g., 100 to 250N, 160 to 270 N, 160 to 250 N, preferably 195 to 235 N. The disintegration time of the tablet may be of about 20 min or less. Preferably, for the 100 mg Compound I tablet, the disintegration time is ranging about 2 to 10 min, preferably 4 to 10 min, e.g., 4 to 8 min. For the 400 mg Compound I tablet, the disintegration time is, preferably ranging from about 7 to 15 min, preferably 8 to 15 min, e.g., 8 to 14 min. The friability of the tablets is measured according to the US Pharmacopeia. The friability of the tablets according to the </w:t>
      </w:r>
      <w:r w:rsidRPr="00912C1E">
        <w:rPr>
          <w:rFonts w:ascii="Times New Roman" w:hAnsi="Times New Roman" w:cs="Times New Roman"/>
          <w:sz w:val="24"/>
          <w:szCs w:val="24"/>
        </w:rPr>
        <w:lastRenderedPageBreak/>
        <w:t xml:space="preserve">invention monitored following the recommendation of the US Pharmacopeia is 0%. By looking into the above disclosure it can be deduced that there is a sufficient disclosure of the process and the process parameters can be suitably selected by the person skilled in the art because the equipment that is used herein and the nature &amp; choice of excipients can be selected by a person skilled in the art as admitted by the patentee in the specification. Probably other than the process and process parameters and equipment/machinery as required the inventive concept, if any, shall lie in the preparation of two phased tablet. Having discussed on the “inventive step” sufficiently under the first ground of opposition the discussion presently is restricted to sufficient disclosure. Also the problems identified by the patentee with respect to process for the preparation of high drug load tablet comprising Compound I or its crystalline forms, i.e., high friability values and poor abrasion resistance have shown as overcome by showing the results obtained by known techniques. Hence the disclosure is complete. Coming to this conclusion thus it is concluded that there is sufficient disclosure in the granted specification for performing the alleged invention. Hence this ground of opposition is hereby dismissed.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ARGUMENTS UNDER SECTION 25 (2) (h):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agent for the opponent has stated that the patentee did not discharge it burden under Section 8 of the Act since it failed to comply with the provisions of Section 8 (1) and (2). It was argued that the patentee has not informed the patent office about opposition proceedings that were being held before EPO. With respect to Form-3 filed by the patentee initially on 20/10/2004 and then on 05/02/2009, the agent for the opponent has pointed out as lacunae on the part of the patentee, namely; a) The status of the corresponding Great Britain Application GB 0209265.8 was shown as ‘pending’ whereas it was terminated on 24/08/2003 which is before the date of grant which is 23/12/2009. b) The status of the corresponding Australian Patent Application 2003229705 in Form-3 dated 05/02/2009 is shown as ‘pending’ whereas it was granted on 17/05/2007 which is earlier to the filing of said Form-3 and the same was not updated till the date of grant. c) Though the corresponding US Patent application USA 10/51271 was stated to be filed on 22/04/2003, this information did not appear in the first filed Form-3 [dated 20/10/2004] but appears only on the subsequently filed Form-3 [dated 05/02/2009]. Further it was stated that office actions like Requirement for restriction/election, non-final and final rejections happened on 29/01/2008, 02/04/2008 and 31/12/2008 respectively. Further the same US application was requested for continued examination on 30/04/2009 and the office actions like non-final rejection, final rejection and abandonment of the same on 15/07/2009; 21/01/2010 and 28/07/2012 respectively; these details were not communicated by the patentee to the Indian Patent Office. To strengthen the argument the agent for the opponent has relied on the following decisions, namely; i) C1: Order No. 166 of 2012 from Intellectual Property Appellate Board;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73 of 2011;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7 of 2012;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16 of 2012 and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22 of 2012 in ORA/18/2010/PT/MUM &amp; ORA/18/2010/PT/MUM dated 12th June 2012; Tata Chemicals Limited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Hindustan Unilever Limited &amp; </w:t>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Controller of Patents and Designs; Reference to paragraphs 73 to 108. ii) C2: Decision issued by the High Court of Delhi; CS (OS) No. 930 of 2009 dated 28/08/2009; </w:t>
      </w:r>
      <w:proofErr w:type="spellStart"/>
      <w:r w:rsidRPr="00912C1E">
        <w:rPr>
          <w:rFonts w:ascii="Times New Roman" w:hAnsi="Times New Roman" w:cs="Times New Roman"/>
          <w:sz w:val="24"/>
          <w:szCs w:val="24"/>
        </w:rPr>
        <w:t>Chemtura</w:t>
      </w:r>
      <w:proofErr w:type="spellEnd"/>
      <w:r w:rsidRPr="00912C1E">
        <w:rPr>
          <w:rFonts w:ascii="Times New Roman" w:hAnsi="Times New Roman" w:cs="Times New Roman"/>
          <w:sz w:val="24"/>
          <w:szCs w:val="24"/>
        </w:rPr>
        <w:t xml:space="preserve"> Corporation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Union of India (UOI) and </w:t>
      </w:r>
      <w:proofErr w:type="spellStart"/>
      <w:r w:rsidRPr="00912C1E">
        <w:rPr>
          <w:rFonts w:ascii="Times New Roman" w:hAnsi="Times New Roman" w:cs="Times New Roman"/>
          <w:sz w:val="24"/>
          <w:szCs w:val="24"/>
        </w:rPr>
        <w:t>Ors</w:t>
      </w:r>
      <w:proofErr w:type="spell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Reference to paragraphs 35 to 49.</w:t>
      </w:r>
      <w:proofErr w:type="gramEnd"/>
      <w:r w:rsidRPr="00912C1E">
        <w:rPr>
          <w:rFonts w:ascii="Times New Roman" w:hAnsi="Times New Roman" w:cs="Times New Roman"/>
          <w:sz w:val="24"/>
          <w:szCs w:val="24"/>
        </w:rPr>
        <w:t xml:space="preserve"> iii) C3: Order No. 207 of 2012 from Intellectual Property Appellate </w:t>
      </w:r>
      <w:r w:rsidRPr="00912C1E">
        <w:rPr>
          <w:rFonts w:ascii="Times New Roman" w:hAnsi="Times New Roman" w:cs="Times New Roman"/>
          <w:sz w:val="24"/>
          <w:szCs w:val="24"/>
        </w:rPr>
        <w:lastRenderedPageBreak/>
        <w:t xml:space="preserve">Board;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49 of 2012;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50 of 2012 &amp; </w:t>
      </w:r>
      <w:proofErr w:type="spellStart"/>
      <w:r w:rsidRPr="00912C1E">
        <w:rPr>
          <w:rFonts w:ascii="Times New Roman" w:hAnsi="Times New Roman" w:cs="Times New Roman"/>
          <w:sz w:val="24"/>
          <w:szCs w:val="24"/>
        </w:rPr>
        <w:t>M.P.No</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107 of 2012 in ORA/14/2009/PT/MUM and ORA/14/2009/PT/MUM dated 24th day of August 2012; VRC Continental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Uniroyal Chemical Company </w:t>
      </w:r>
      <w:proofErr w:type="spellStart"/>
      <w:r w:rsidRPr="00912C1E">
        <w:rPr>
          <w:rFonts w:ascii="Times New Roman" w:hAnsi="Times New Roman" w:cs="Times New Roman"/>
          <w:sz w:val="24"/>
          <w:szCs w:val="24"/>
        </w:rPr>
        <w:t>Inc</w:t>
      </w:r>
      <w:proofErr w:type="spellEnd"/>
      <w:r w:rsidRPr="00912C1E">
        <w:rPr>
          <w:rFonts w:ascii="Times New Roman" w:hAnsi="Times New Roman" w:cs="Times New Roman"/>
          <w:sz w:val="24"/>
          <w:szCs w:val="24"/>
        </w:rPr>
        <w:t xml:space="preserve"> [USA]; </w:t>
      </w:r>
      <w:proofErr w:type="spellStart"/>
      <w:r w:rsidRPr="00912C1E">
        <w:rPr>
          <w:rFonts w:ascii="Times New Roman" w:hAnsi="Times New Roman" w:cs="Times New Roman"/>
          <w:sz w:val="24"/>
          <w:szCs w:val="24"/>
        </w:rPr>
        <w:t>Chemutura</w:t>
      </w:r>
      <w:proofErr w:type="spellEnd"/>
      <w:r w:rsidRPr="00912C1E">
        <w:rPr>
          <w:rFonts w:ascii="Times New Roman" w:hAnsi="Times New Roman" w:cs="Times New Roman"/>
          <w:sz w:val="24"/>
          <w:szCs w:val="24"/>
        </w:rPr>
        <w:t xml:space="preserve"> Corporation &amp; </w:t>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Controller of Patents. </w:t>
      </w:r>
      <w:proofErr w:type="gramStart"/>
      <w:r w:rsidRPr="00912C1E">
        <w:rPr>
          <w:rFonts w:ascii="Times New Roman" w:hAnsi="Times New Roman" w:cs="Times New Roman"/>
          <w:sz w:val="24"/>
          <w:szCs w:val="24"/>
        </w:rPr>
        <w:t>Reference to paragraphs 17 to 35.</w:t>
      </w:r>
      <w:proofErr w:type="gramEnd"/>
      <w:r w:rsidRPr="00912C1E">
        <w:rPr>
          <w:rFonts w:ascii="Times New Roman" w:hAnsi="Times New Roman" w:cs="Times New Roman"/>
          <w:sz w:val="24"/>
          <w:szCs w:val="24"/>
        </w:rPr>
        <w:t xml:space="preserve"> In the paragraph 94 of the document C1 it was stated that the </w:t>
      </w:r>
      <w:proofErr w:type="spellStart"/>
      <w:r w:rsidRPr="00912C1E">
        <w:rPr>
          <w:rFonts w:ascii="Times New Roman" w:hAnsi="Times New Roman" w:cs="Times New Roman"/>
          <w:sz w:val="24"/>
          <w:szCs w:val="24"/>
        </w:rPr>
        <w:t>Shri</w:t>
      </w:r>
      <w:proofErr w:type="spellEnd"/>
      <w:r w:rsidRPr="00912C1E">
        <w:rPr>
          <w:rFonts w:ascii="Times New Roman" w:hAnsi="Times New Roman" w:cs="Times New Roman"/>
          <w:sz w:val="24"/>
          <w:szCs w:val="24"/>
        </w:rPr>
        <w:t xml:space="preserve"> Justice N. </w:t>
      </w:r>
      <w:proofErr w:type="spellStart"/>
      <w:r w:rsidRPr="00912C1E">
        <w:rPr>
          <w:rFonts w:ascii="Times New Roman" w:hAnsi="Times New Roman" w:cs="Times New Roman"/>
          <w:sz w:val="24"/>
          <w:szCs w:val="24"/>
        </w:rPr>
        <w:t>Rajagopala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Ayyangar’s</w:t>
      </w:r>
      <w:proofErr w:type="spellEnd"/>
      <w:r w:rsidRPr="00912C1E">
        <w:rPr>
          <w:rFonts w:ascii="Times New Roman" w:hAnsi="Times New Roman" w:cs="Times New Roman"/>
          <w:sz w:val="24"/>
          <w:szCs w:val="24"/>
        </w:rPr>
        <w:t xml:space="preserve"> report recommended the addition of words to include “failure to communicate information in possession of an applicant [herein is the patentee</w:t>
      </w:r>
      <w:proofErr w:type="gramStart"/>
      <w:r w:rsidRPr="00912C1E">
        <w:rPr>
          <w:rFonts w:ascii="Times New Roman" w:hAnsi="Times New Roman" w:cs="Times New Roman"/>
          <w:sz w:val="24"/>
          <w:szCs w:val="24"/>
        </w:rPr>
        <w:t>]as</w:t>
      </w:r>
      <w:proofErr w:type="gramEnd"/>
      <w:r w:rsidRPr="00912C1E">
        <w:rPr>
          <w:rFonts w:ascii="Times New Roman" w:hAnsi="Times New Roman" w:cs="Times New Roman"/>
          <w:sz w:val="24"/>
          <w:szCs w:val="24"/>
        </w:rPr>
        <w:t xml:space="preserve"> constituting a ground of opposition and revocation respectively.” This is the background of the Section 8 of the Patents Act. In fact Section 64 (1) (m) &amp; (j) are perhaps the only ground in the Section where the revocation of patent is on a ground which is not directly concerned with the invention itself. But it is based on the conduct of the patent applicant and whether the applicant had disclosed all information bound to be disclosed before the applicant secures a monopoly against the rest of the world. It is a ground basis. The above conclusion is probably based on the </w:t>
      </w:r>
      <w:proofErr w:type="spellStart"/>
      <w:r w:rsidRPr="00912C1E">
        <w:rPr>
          <w:rFonts w:ascii="Times New Roman" w:hAnsi="Times New Roman" w:cs="Times New Roman"/>
          <w:sz w:val="24"/>
          <w:szCs w:val="24"/>
        </w:rPr>
        <w:t>Shri</w:t>
      </w:r>
      <w:proofErr w:type="spellEnd"/>
      <w:r w:rsidRPr="00912C1E">
        <w:rPr>
          <w:rFonts w:ascii="Times New Roman" w:hAnsi="Times New Roman" w:cs="Times New Roman"/>
          <w:sz w:val="24"/>
          <w:szCs w:val="24"/>
        </w:rPr>
        <w:t xml:space="preserve"> Justice N. </w:t>
      </w:r>
      <w:proofErr w:type="spellStart"/>
      <w:r w:rsidRPr="00912C1E">
        <w:rPr>
          <w:rFonts w:ascii="Times New Roman" w:hAnsi="Times New Roman" w:cs="Times New Roman"/>
          <w:sz w:val="24"/>
          <w:szCs w:val="24"/>
        </w:rPr>
        <w:t>Rajagopala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Ayyangar’s</w:t>
      </w:r>
      <w:proofErr w:type="spellEnd"/>
      <w:r w:rsidRPr="00912C1E">
        <w:rPr>
          <w:rFonts w:ascii="Times New Roman" w:hAnsi="Times New Roman" w:cs="Times New Roman"/>
          <w:sz w:val="24"/>
          <w:szCs w:val="24"/>
        </w:rPr>
        <w:t xml:space="preserve"> report which has been stated in paragraph 91 of C1 which reads thus, </w:t>
      </w:r>
      <w:proofErr w:type="gramStart"/>
      <w:r w:rsidRPr="00912C1E">
        <w:rPr>
          <w:rFonts w:ascii="Times New Roman" w:hAnsi="Times New Roman" w:cs="Times New Roman"/>
          <w:sz w:val="24"/>
          <w:szCs w:val="24"/>
        </w:rPr>
        <w:t>“ The</w:t>
      </w:r>
      <w:proofErr w:type="gramEnd"/>
      <w:r w:rsidRPr="00912C1E">
        <w:rPr>
          <w:rFonts w:ascii="Times New Roman" w:hAnsi="Times New Roman" w:cs="Times New Roman"/>
          <w:sz w:val="24"/>
          <w:szCs w:val="24"/>
        </w:rPr>
        <w:t xml:space="preserve"> history of the provision is seen from the report on the Revision of Patents Law by </w:t>
      </w:r>
      <w:proofErr w:type="spellStart"/>
      <w:r w:rsidRPr="00912C1E">
        <w:rPr>
          <w:rFonts w:ascii="Times New Roman" w:hAnsi="Times New Roman" w:cs="Times New Roman"/>
          <w:sz w:val="24"/>
          <w:szCs w:val="24"/>
        </w:rPr>
        <w:t>Shri</w:t>
      </w:r>
      <w:proofErr w:type="spellEnd"/>
      <w:r w:rsidRPr="00912C1E">
        <w:rPr>
          <w:rFonts w:ascii="Times New Roman" w:hAnsi="Times New Roman" w:cs="Times New Roman"/>
          <w:sz w:val="24"/>
          <w:szCs w:val="24"/>
        </w:rPr>
        <w:t xml:space="preserve"> Justice N. </w:t>
      </w:r>
      <w:proofErr w:type="spellStart"/>
      <w:r w:rsidRPr="00912C1E">
        <w:rPr>
          <w:rFonts w:ascii="Times New Roman" w:hAnsi="Times New Roman" w:cs="Times New Roman"/>
          <w:sz w:val="24"/>
          <w:szCs w:val="24"/>
        </w:rPr>
        <w:t>Rajagopala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Ayyangar</w:t>
      </w:r>
      <w:proofErr w:type="spellEnd"/>
      <w:r w:rsidRPr="00912C1E">
        <w:rPr>
          <w:rFonts w:ascii="Times New Roman" w:hAnsi="Times New Roman" w:cs="Times New Roman"/>
          <w:sz w:val="24"/>
          <w:szCs w:val="24"/>
        </w:rPr>
        <w:t xml:space="preserve">. It speaks of the necessity to remove geographical limitation as to anticipation. I note of the ground reality that in India the availability of books and literature is not the same as in the UK. The public libraries are few and they are not well equipped. The learned author of the Report felt that a rule on the lines of the UK enactment would be contrary to public interest for it would enable a person to obtain a valid patent in India when information in regard to that is available in foreign publications.” The present application was filed in 2004 and the information with respect to foreign filings is available on the internet. Various patent offices are </w:t>
      </w:r>
      <w:proofErr w:type="spellStart"/>
      <w:r w:rsidRPr="00912C1E">
        <w:rPr>
          <w:rFonts w:ascii="Times New Roman" w:hAnsi="Times New Roman" w:cs="Times New Roman"/>
          <w:sz w:val="24"/>
          <w:szCs w:val="24"/>
        </w:rPr>
        <w:t>publicising</w:t>
      </w:r>
      <w:proofErr w:type="spellEnd"/>
      <w:r w:rsidRPr="00912C1E">
        <w:rPr>
          <w:rFonts w:ascii="Times New Roman" w:hAnsi="Times New Roman" w:cs="Times New Roman"/>
          <w:sz w:val="24"/>
          <w:szCs w:val="24"/>
        </w:rPr>
        <w:t xml:space="preserve"> the prosecution details in their respective websites. Under these circumstances the intention of </w:t>
      </w:r>
      <w:proofErr w:type="spellStart"/>
      <w:r w:rsidRPr="00912C1E">
        <w:rPr>
          <w:rFonts w:ascii="Times New Roman" w:hAnsi="Times New Roman" w:cs="Times New Roman"/>
          <w:sz w:val="24"/>
          <w:szCs w:val="24"/>
        </w:rPr>
        <w:t>Shri</w:t>
      </w:r>
      <w:proofErr w:type="spellEnd"/>
      <w:r w:rsidRPr="00912C1E">
        <w:rPr>
          <w:rFonts w:ascii="Times New Roman" w:hAnsi="Times New Roman" w:cs="Times New Roman"/>
          <w:sz w:val="24"/>
          <w:szCs w:val="24"/>
        </w:rPr>
        <w:t xml:space="preserve"> Justice N. </w:t>
      </w:r>
      <w:proofErr w:type="spellStart"/>
      <w:r w:rsidRPr="00912C1E">
        <w:rPr>
          <w:rFonts w:ascii="Times New Roman" w:hAnsi="Times New Roman" w:cs="Times New Roman"/>
          <w:sz w:val="24"/>
          <w:szCs w:val="24"/>
        </w:rPr>
        <w:t>Rajagopala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Ayyangar’s</w:t>
      </w:r>
      <w:proofErr w:type="spellEnd"/>
      <w:r w:rsidRPr="00912C1E">
        <w:rPr>
          <w:rFonts w:ascii="Times New Roman" w:hAnsi="Times New Roman" w:cs="Times New Roman"/>
          <w:sz w:val="24"/>
          <w:szCs w:val="24"/>
        </w:rPr>
        <w:t xml:space="preserve"> Report is fulfilled though the applicant has violated the Section 8 of the Patents Act. Logically speaking the intentions of the legislature is fulfilled but legally speaking the same is not fulfilled. In paragraphs 107 and 108 of C1 it was concluded that the Act requires compliance with Section 8(1) and 8(2) and the patent applicant must comply with the same. Otherwise the patent is liable to be revoked. Hence it was decided to revoke the patent on this ground. In the paragraph 37 of C2 it is stated that the expression “time to time” of the Section 8(1)(b) of the Patents Act meant a periodicity of furnishing information akin to updating the Controller on the current status of the applications filed in other countries. It is not, as suggested by the learned Counsel for the plaintiff, a mere furnishing of information whether the application is pending or dismissed. In the paragraph 45 of C2 it is stated that it is not possible to accept the submission, made by referring to the </w:t>
      </w:r>
      <w:proofErr w:type="spellStart"/>
      <w:r w:rsidRPr="00912C1E">
        <w:rPr>
          <w:rFonts w:ascii="Times New Roman" w:hAnsi="Times New Roman" w:cs="Times New Roman"/>
          <w:sz w:val="24"/>
          <w:szCs w:val="24"/>
        </w:rPr>
        <w:t>Halsbury’s</w:t>
      </w:r>
      <w:proofErr w:type="spellEnd"/>
      <w:r w:rsidRPr="00912C1E">
        <w:rPr>
          <w:rFonts w:ascii="Times New Roman" w:hAnsi="Times New Roman" w:cs="Times New Roman"/>
          <w:sz w:val="24"/>
          <w:szCs w:val="24"/>
        </w:rPr>
        <w:t xml:space="preserve"> Laws of England that since the omission to furnish particulars is not serious to affect the grant of the patent, it did not impinge on its validity. Section 64(1) and (m) indicate to the contrary. Further under Section 43(1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b) a patent can be granted only when the application has been found not to be contrary to any provision of the Act. It cannot be said that the omission to comply with the requirement of Section 8(2) was not serious enough to affect the decision of the Controller to grant the patent to plaintiff. The information, if provided, would have enlightened the Controller of the objections raised by the US patent office and the extent to which the plaintiff had to limit its claims.” The final conclusion of C3 in paragraph 35 is that the applicant has failed to give information relating to filing of application in EPO under Section 8 (1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b) even after giving </w:t>
      </w:r>
      <w:r w:rsidRPr="00912C1E">
        <w:rPr>
          <w:rFonts w:ascii="Times New Roman" w:hAnsi="Times New Roman" w:cs="Times New Roman"/>
          <w:sz w:val="24"/>
          <w:szCs w:val="24"/>
        </w:rPr>
        <w:lastRenderedPageBreak/>
        <w:t xml:space="preserve">an undertaking to keep the Controller informed and failed in furnishing the search/examination reports to the Controller within 30 days from the date of communication by the Controller to do so, hence the applicant for the patent grant has not fulfilled the requirements of the Section 8 of the Patents Act. To conclude the arguments the agent for the opponent has stated that the patentee has not updated the information with respect to corresponding GB, Australia and US applications thus evidently, the patentee has materially breached the obligation under Sections 8(1) and 8(2) and hence the patent is ought to be revoked on this ground of opposition also. Refuting the above allegations made by the opponent, the agent for the patentee has stated that the patentee has met the obligations of the Section 8 of the Patents Act. It was stated that Form-3 was initially filed along with the application on the date of entry into India that is on 20th October 2004 wherein it is shown that GB application is pending and the status of publication of PCT application. Further at the time of filing the response to the First Examination Report on 5th February 2009 the updated Form-3 was filed wherein the left out information of US filing was incorporated and the status details regarding another 38 countries were communicated. Section 8(1) teaches that the details regarding foreign filing particulars shall be furnished to the patent office either along with the application or within 6 months from the date of filing(s) in foreign country/countries. The provision as laid in Rule 137 states that the Controller has power to condone any irregularity in procedure where there is no special provision has been made in the Act. Accordingly a petition under rule 137 was filed on 5th February 2009 along with the prescribed of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xml:space="preserve">. 4000/-. The petition was taken on record and since no communication has been received from the Patent Office, being the usual office </w:t>
      </w:r>
      <w:proofErr w:type="spellStart"/>
      <w:r w:rsidRPr="00912C1E">
        <w:rPr>
          <w:rFonts w:ascii="Times New Roman" w:hAnsi="Times New Roman" w:cs="Times New Roman"/>
          <w:sz w:val="24"/>
          <w:szCs w:val="24"/>
        </w:rPr>
        <w:t>practise</w:t>
      </w:r>
      <w:proofErr w:type="spellEnd"/>
      <w:r w:rsidRPr="00912C1E">
        <w:rPr>
          <w:rFonts w:ascii="Times New Roman" w:hAnsi="Times New Roman" w:cs="Times New Roman"/>
          <w:sz w:val="24"/>
          <w:szCs w:val="24"/>
        </w:rPr>
        <w:t>, it is deemed to have been allowed by the Controller. Hence the actions taken by the applicant [herein patentee] under the provisions of the Section 8 is ratified. Further it was argued by the agent for the patentee that the opponent has stated that the details of the prosecution history from time to time have not been informed to the patent office. It was argued that the details of filing is sufficient under the provisions of the Section 8(1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a) with respect to the foreign filing details when such filings happened before the date of entry in India. The provisions of the Section 8(1)(b) provides an opportunity to the applicants to provide the detailed particulars as required under clause (a) for such applications that are filed in foreign countries after the date of entry in India. This has to be understood that after entering in India, if the applicant enters other countries then there is a possibility of different date of entries in different countries. In such a situation the expression ‘time to time’ as provided in the Section 8(1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b) has to be understood such that from time to time the filing particulars either by the applicant or by some other person through whom he claims or by some person deriving title from him shall be furnished within 6 month period from such date of entry. The 6 month period varies from country to country wherein there are different dates of entry. It was further argued that only the status of the foreign application is required under law and what happens to </w:t>
      </w:r>
      <w:proofErr w:type="spellStart"/>
      <w:r w:rsidRPr="00912C1E">
        <w:rPr>
          <w:rFonts w:ascii="Times New Roman" w:hAnsi="Times New Roman" w:cs="Times New Roman"/>
          <w:sz w:val="24"/>
          <w:szCs w:val="24"/>
        </w:rPr>
        <w:t>to</w:t>
      </w:r>
      <w:proofErr w:type="spellEnd"/>
      <w:r w:rsidRPr="00912C1E">
        <w:rPr>
          <w:rFonts w:ascii="Times New Roman" w:hAnsi="Times New Roman" w:cs="Times New Roman"/>
          <w:sz w:val="24"/>
          <w:szCs w:val="24"/>
        </w:rPr>
        <w:t xml:space="preserve"> the patent after grant is not required to be submitted. Hence the patentee has not violated any provisions of the Section 8 (1) of the Patents Act. It was argued that Section 8(2) is not a continuing requirement. My attention was drawn to the reply to the First Examination Report wherein it is stated that “ We are enclosing a copy of the first and claim pages of the corresponding granted EP Patent No: 1501485”, and the same has been incorporated in Form-3 that was filed on 5th February 2009. The 9 oppositions were dismissed by EPO on 07/12/2010 which </w:t>
      </w:r>
      <w:r w:rsidRPr="00912C1E">
        <w:rPr>
          <w:rFonts w:ascii="Times New Roman" w:hAnsi="Times New Roman" w:cs="Times New Roman"/>
          <w:sz w:val="24"/>
          <w:szCs w:val="24"/>
        </w:rPr>
        <w:lastRenderedPageBreak/>
        <w:t xml:space="preserve">is after the date of grant in India. Therefore there is no non-compliance on the part of the patentee about providing the information of the final result of the opposition proceedings before EPO. On the termination of GB patent application it was stated that it does not affect the status of the subject patent application. The patentee is entitled to claim priority on the said patent. Moreover the patentee has filed a European Patent application which covers the said jurisdiction therefore the said contention is frivolous and without merit. As far as corresponding US Application is concerned it was argued that the patentee has informed the filing details in the subsequent Form-3 and irregularity that happened was condoned by the Controller. As argued earlier it is sufficient to provide the filing particulars under the provisions of the Section 8(1). Further it was argued that under the US Patent Law the final rejection is not finality of the application. After the final rejection there are two courses of available in the US: i) File continuation application and abandon the earlier application, and ii) Appeal against the decision of the Examiner. The patentee herein has abandoned the corresponding application and chosen to file continuation application instead of going for an appeal in that jurisdiction. The final rejection and abandonment of the continued application happened after the date of grant of the patent in India. Hence the final action on the corresponding US application need not be communicated after the grant of patent as the Section 8 imposes only to provide the filing particulars till the grant of patent only. Hence the patentee has not violated any law. Further it was argued that International Search Report was adverse to the applicant and the report is freely available in the WIPO web site and open to the public. Despite that because of the persuasive arguments made by the applicant though there are 9 oppositions the patent has been granted by the EPO. Australian patent office also has granted the patent. It was further argued that the corresponding applications in US and GB were abandoned but not refused. With respect C1 the agent for the patentee has argued that all office actions either it is US or Europe are freely available online to the public. It is pointed out that even the opponent has taken the printouts from the corresponding patent office websites. Hence the same information is available to the Indian Patent Office as well. The alleged non-compliance of the Section 8, which is not agreed upon, is not a result of any </w:t>
      </w:r>
      <w:proofErr w:type="spellStart"/>
      <w:r w:rsidRPr="00912C1E">
        <w:rPr>
          <w:rFonts w:ascii="Times New Roman" w:hAnsi="Times New Roman" w:cs="Times New Roman"/>
          <w:sz w:val="24"/>
          <w:szCs w:val="24"/>
        </w:rPr>
        <w:t>wilful</w:t>
      </w:r>
      <w:proofErr w:type="spellEnd"/>
      <w:r w:rsidRPr="00912C1E">
        <w:rPr>
          <w:rFonts w:ascii="Times New Roman" w:hAnsi="Times New Roman" w:cs="Times New Roman"/>
          <w:sz w:val="24"/>
          <w:szCs w:val="24"/>
        </w:rPr>
        <w:t xml:space="preserve"> or malicious intentions of the Patentee. It was argued with respect to C2 that the meaning of the expression ‘time to time’ in the Section 8(1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b) has already been argued that it does not mean any updating because the Section 8(1)(a) does not specify so. Therefore the patentee has stated that they are not willing to accept the conclusion made in C2. With respect to C3 the agent for the patentee has stated that there is a clear violation by the applicant therein who has not informed the filing particulars and hence the decision of revoking is correct. In present scenario the applicant [patentee] has not missed any such information. Therefore the teachings of C3 are not applicable to the patentee. In view of the above arguments the agent for the patentee has prayed of dismissal of this ground for opposition and upheld the grant of patent. After hearing on both the sides I herein reproduce the Section 8(1) and the corresponding rules as below; 8. Information and undertaking regarding foreign applications: (1) Where an applicant for a patent under this Act is prosecuting either alone or jointly with any other person an application for patent in any country outside India in respect of the same or substantially the same invention, or where to his knowledge such an application is being prosecuted by some person through whom he claims or by some person deriving title from him, he shall file along with his application or </w:t>
      </w:r>
      <w:r w:rsidRPr="00912C1E">
        <w:rPr>
          <w:rFonts w:ascii="Times New Roman" w:hAnsi="Times New Roman" w:cs="Times New Roman"/>
          <w:sz w:val="24"/>
          <w:szCs w:val="24"/>
        </w:rPr>
        <w:lastRenderedPageBreak/>
        <w:t xml:space="preserve">subsequently within the prescribed period as the Controller may allow (a) a statement setting out detailed particulars of such application; and (b) an undertaking that </w:t>
      </w:r>
      <w:proofErr w:type="spellStart"/>
      <w:r w:rsidRPr="00912C1E">
        <w:rPr>
          <w:rFonts w:ascii="Times New Roman" w:hAnsi="Times New Roman" w:cs="Times New Roman"/>
          <w:sz w:val="24"/>
          <w:szCs w:val="24"/>
        </w:rPr>
        <w:t>upto</w:t>
      </w:r>
      <w:proofErr w:type="spellEnd"/>
      <w:r w:rsidRPr="00912C1E">
        <w:rPr>
          <w:rFonts w:ascii="Times New Roman" w:hAnsi="Times New Roman" w:cs="Times New Roman"/>
          <w:sz w:val="24"/>
          <w:szCs w:val="24"/>
        </w:rPr>
        <w:t xml:space="preserve"> the date of grant of patent in India, he would keep the Controller informed in writing, from time to time, the detailed particulars as required under clause (a) in respect of every other application relating to the same or substantially the same invention, if any, filed in any country outside India subsequently to the filing of the statement referred to in the aforesaid clause, within the prescribed time. RULE 12(1-A): The period within which the applicant shall file the statement and undertaking under subsection (1) of section 8 shall be six months from the date of filing the application. EXPLANATION: For the purpose of this rule, the period of six months in case of an application corresponding to an international application in which India is designated shall be reckoned from the actual date on which the corresponding application is filed in India. RULE 12(2): The time within which the applicant for a patent shall keep the Controller informed of the details in respect of other applications filed in any country in the undertaking to be given by him under clause (b) shall be six months from the date of such filing. The expression ‘detailed particulars’ has not been defined either in the statue or in the corresponding rules, thus leaving for different interpretations. The probable interpretation is being related to only filing particulars like, name of the country, date of application, application number, status of the application, date of publication and date of grant; because these particulars are provided in the specified Form-3. No prosecution details are added in Form-3. Assuming that an applicant enters India either through convention route or PCT International route there are two possibilities with respect to foreign filings. The first one is filing in few countries before entering India and the second one is filing in other foreign countries after filing in India. It is very clear from the Section 8(1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a) that in a situation where the applicant had entered in few foreign countries on the date of filing in India, the applicant shall furnish the detailed particulars of the same at the time filing in India. Section 8(1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b) applies to such an applicant who files further foreign filings after filing in India. In either of the case a free time period of 6 months is given to the applicant to furnish such details. One may wonder, if so, when prosecution details are not required then why the Form-3 contains like the ‘status of the application’ and ‘date of grant’. It can be deduced that during the prosecution in India, and the granting process is generally a time consuming process in any country [generally takes 2 to 4 or even more years], meanwhile other countries might have decided the case either in granting or refusal of the application. Or the application may be under opposition. Wherever the date of grant is not available, say for example the patent is refused, the same detail shall be available under ‘status of the application’. When such information that includes grant, refusal, abandonment, with drawn, opposed and the result of opposition etc., is available, then the Controller can invoke the powers under the provisions of the Section 8(2) seeking the detailed particulars relating to novelty, inventive step, industrial applicability and any other related information as provided in the rule 12(3) of the Patents (Amendment) Rules 2006. In such situation the applicant has to provide the sought details within 6 months from the date of such communication which is irrespective of 12 months as provided in section 12 of the Act. In the present opposition the patentee has failed to provide the details of termination of GB application and abandonment of initially filed US application and grant of patent for the Australian Patent application. These actions happened before the date of grant of the patent in India. Had the patentee informed these actions, </w:t>
      </w:r>
      <w:r w:rsidRPr="00912C1E">
        <w:rPr>
          <w:rFonts w:ascii="Times New Roman" w:hAnsi="Times New Roman" w:cs="Times New Roman"/>
          <w:sz w:val="24"/>
          <w:szCs w:val="24"/>
        </w:rPr>
        <w:lastRenderedPageBreak/>
        <w:t>probably the Controller might have sought the details under Section 8(2), specifically to these countries and could have concluded on the decision of the grant of patent. Apart from that, this office had asked the applicant [herein patentee] to provide the details under the provisions of the Section 8(2) in the First Examination Report itself with respect to US and EPO. It is noted that the objection number of 21 of the First Examination Report has directed the applicant [herein patentee] to file the reply relating the details under the Section 8(2) within 6 months from the date of dispatch of the examination report which was dated as 19th February 2008. The six month period lapses by 20th August 2008. Despite the direction by this office the applicant [herein the patentee] filed the reply only on 5th February 2009 which is gross violation of the imposed objection. It cannot be argued that there is 12 month period limitation for filing the reply because the provisions of the Section 12 of the Patents Act provides the said 12 month period to reply to the examination report because it is clearly mentioned under paragraph 21 of the examination report that the applicant [herein the patentee] shall reply to this paragraph within 6 months from the date of dispatch of the examination report. Rule 12 (3) directs the applicant to file such reply within 6 months from the date of such direction. It should not be misunderstood that by filing a petition under rule 137 has sheltered the sought details. The said petition is only to condone the delay in filing the particulars. Section 8(2) is specific in seeking the detailed particulars from the specific countries. In the present case the paragraph /objection 21 of the first examination report is specific to certain countries and also reminds the time limit of 6 months to the applicant. But the patentee has failed in their obligation of providing the information as sought. Therefore it is concluded that the patentee has not met the requirements of the Section 8 of the Patents Act and this patent is hereby revoked on this ground also.</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The ground of opposition under the Section 25(2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g) is hereby dismissed. The grounds of opposition under the Section 25 (2</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e),(f) and (h) are valid and hence the grant of patent is hereby revoked under the powers vested with the Section 25(4) of the Patents (Amendment) Act 2005.Under the provisions of the Section 117-A (2) of the Patents (Amendment) Act 2005 an appeal can be made before the Intellectual Property Appellate Board.</w:t>
      </w:r>
    </w:p>
    <w:p w:rsidR="00912C1E" w:rsidRDefault="00912C1E" w:rsidP="00912C1E">
      <w:pPr>
        <w:spacing w:after="0"/>
        <w:jc w:val="both"/>
        <w:rPr>
          <w:rFonts w:ascii="Times New Roman" w:hAnsi="Times New Roman" w:cs="Times New Roman"/>
          <w:b/>
          <w:sz w:val="24"/>
          <w:szCs w:val="24"/>
        </w:rPr>
      </w:pPr>
    </w:p>
    <w:p w:rsid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VI:</w:t>
      </w:r>
      <w:r w:rsidRPr="00912C1E">
        <w:rPr>
          <w:rFonts w:ascii="Times New Roman" w:hAnsi="Times New Roman" w:cs="Times New Roman"/>
          <w:b/>
          <w:sz w:val="24"/>
          <w:szCs w:val="24"/>
        </w:rPr>
        <w:t xml:space="preserve">  </w:t>
      </w: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ISSUANCE OF FIRST COMPULSORY LISENCE IN INDIA – SYNOPSIS</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Case of CL – Bayer </w:t>
      </w:r>
      <w:proofErr w:type="spellStart"/>
      <w:r w:rsidRPr="00912C1E">
        <w:rPr>
          <w:rFonts w:ascii="Times New Roman" w:hAnsi="Times New Roman" w:cs="Times New Roman"/>
          <w:b/>
          <w:sz w:val="24"/>
          <w:szCs w:val="24"/>
        </w:rPr>
        <w:t>Vs</w:t>
      </w:r>
      <w:proofErr w:type="spellEnd"/>
      <w:r w:rsidRPr="00912C1E">
        <w:rPr>
          <w:rFonts w:ascii="Times New Roman" w:hAnsi="Times New Roman" w:cs="Times New Roman"/>
          <w:b/>
          <w:sz w:val="24"/>
          <w:szCs w:val="24"/>
        </w:rPr>
        <w:t xml:space="preserve"> </w:t>
      </w:r>
      <w:proofErr w:type="spellStart"/>
      <w:r w:rsidRPr="00912C1E">
        <w:rPr>
          <w:rFonts w:ascii="Times New Roman" w:hAnsi="Times New Roman" w:cs="Times New Roman"/>
          <w:b/>
          <w:sz w:val="24"/>
          <w:szCs w:val="24"/>
        </w:rPr>
        <w:t>Natco</w:t>
      </w:r>
      <w:proofErr w:type="spellEnd"/>
      <w:r w:rsidRPr="00912C1E">
        <w:rPr>
          <w:rFonts w:ascii="Times New Roman" w:hAnsi="Times New Roman" w:cs="Times New Roman"/>
          <w:b/>
          <w:sz w:val="24"/>
          <w:szCs w:val="24"/>
        </w:rPr>
        <w:t xml:space="preserve"> </w:t>
      </w:r>
      <w:proofErr w:type="spellStart"/>
      <w:r w:rsidRPr="00912C1E">
        <w:rPr>
          <w:rFonts w:ascii="Times New Roman" w:hAnsi="Times New Roman" w:cs="Times New Roman"/>
          <w:b/>
          <w:sz w:val="24"/>
          <w:szCs w:val="24"/>
        </w:rPr>
        <w:t>Pharma</w:t>
      </w:r>
      <w:proofErr w:type="spellEnd"/>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On 9th day of March 2012 the then Controller General of Patents &amp; Designs, Mr. </w:t>
      </w:r>
      <w:proofErr w:type="spellStart"/>
      <w:r w:rsidRPr="00912C1E">
        <w:rPr>
          <w:rFonts w:ascii="Times New Roman" w:hAnsi="Times New Roman" w:cs="Times New Roman"/>
          <w:sz w:val="24"/>
          <w:szCs w:val="24"/>
        </w:rPr>
        <w:t>P.H.Kurian</w:t>
      </w:r>
      <w:proofErr w:type="spellEnd"/>
      <w:r w:rsidRPr="00912C1E">
        <w:rPr>
          <w:rFonts w:ascii="Times New Roman" w:hAnsi="Times New Roman" w:cs="Times New Roman"/>
          <w:sz w:val="24"/>
          <w:szCs w:val="24"/>
        </w:rPr>
        <w:t xml:space="preserve"> IAS had issued a compulsory license to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xml:space="preserve"> Ltd., a Hyderabad based pharmaceutical company to manufacture and sell </w:t>
      </w:r>
      <w:proofErr w:type="spellStart"/>
      <w:r w:rsidRPr="00912C1E">
        <w:rPr>
          <w:rFonts w:ascii="Times New Roman" w:hAnsi="Times New Roman" w:cs="Times New Roman"/>
          <w:sz w:val="24"/>
          <w:szCs w:val="24"/>
        </w:rPr>
        <w:t>Carboxy</w:t>
      </w:r>
      <w:proofErr w:type="spellEnd"/>
      <w:r w:rsidRPr="00912C1E">
        <w:rPr>
          <w:rFonts w:ascii="Times New Roman" w:hAnsi="Times New Roman" w:cs="Times New Roman"/>
          <w:sz w:val="24"/>
          <w:szCs w:val="24"/>
        </w:rPr>
        <w:t xml:space="preserve"> substituted </w:t>
      </w:r>
      <w:proofErr w:type="spellStart"/>
      <w:r w:rsidRPr="00912C1E">
        <w:rPr>
          <w:rFonts w:ascii="Times New Roman" w:hAnsi="Times New Roman" w:cs="Times New Roman"/>
          <w:sz w:val="24"/>
          <w:szCs w:val="24"/>
        </w:rPr>
        <w:t>diphenyl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ureas</w:t>
      </w:r>
      <w:proofErr w:type="spellEnd"/>
      <w:r w:rsidRPr="00912C1E">
        <w:rPr>
          <w:rFonts w:ascii="Times New Roman" w:hAnsi="Times New Roman" w:cs="Times New Roman"/>
          <w:sz w:val="24"/>
          <w:szCs w:val="24"/>
        </w:rPr>
        <w:t>, useful in the treatment of advanced stage liver cancer [Hepatocellular Carcinoma – HCC] and kidney cancer [Renal Cell Carcinoma – RCC], otherwise called as ‘</w:t>
      </w:r>
      <w:proofErr w:type="spellStart"/>
      <w:r w:rsidRPr="00912C1E">
        <w:rPr>
          <w:rFonts w:ascii="Times New Roman" w:hAnsi="Times New Roman" w:cs="Times New Roman"/>
          <w:sz w:val="24"/>
          <w:szCs w:val="24"/>
        </w:rPr>
        <w:t>Sorafenib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tosylate</w:t>
      </w:r>
      <w:proofErr w:type="spellEnd"/>
      <w:r w:rsidRPr="00912C1E">
        <w:rPr>
          <w:rFonts w:ascii="Times New Roman" w:hAnsi="Times New Roman" w:cs="Times New Roman"/>
          <w:sz w:val="24"/>
          <w:szCs w:val="24"/>
        </w:rPr>
        <w:t>’ under the trade name ‘</w:t>
      </w:r>
      <w:proofErr w:type="spellStart"/>
      <w:r w:rsidRPr="00912C1E">
        <w:rPr>
          <w:rFonts w:ascii="Times New Roman" w:hAnsi="Times New Roman" w:cs="Times New Roman"/>
          <w:sz w:val="24"/>
          <w:szCs w:val="24"/>
        </w:rPr>
        <w:t>Nexaver</w:t>
      </w:r>
      <w:proofErr w:type="spellEnd"/>
      <w:r w:rsidRPr="00912C1E">
        <w:rPr>
          <w:rFonts w:ascii="Times New Roman" w:hAnsi="Times New Roman" w:cs="Times New Roman"/>
          <w:sz w:val="24"/>
          <w:szCs w:val="24"/>
        </w:rPr>
        <w:t>’</w:t>
      </w: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FACTS:</w:t>
      </w:r>
    </w:p>
    <w:p w:rsidR="00912C1E" w:rsidRPr="00912C1E" w:rsidRDefault="00912C1E" w:rsidP="00260553">
      <w:pPr>
        <w:pStyle w:val="ListParagraph"/>
        <w:numPr>
          <w:ilvl w:val="0"/>
          <w:numId w:val="4"/>
        </w:numPr>
        <w:spacing w:after="0"/>
        <w:jc w:val="both"/>
        <w:rPr>
          <w:rFonts w:ascii="Times New Roman" w:hAnsi="Times New Roman" w:cs="Times New Roman"/>
          <w:sz w:val="24"/>
          <w:szCs w:val="24"/>
        </w:rPr>
      </w:pPr>
      <w:r w:rsidRPr="00912C1E">
        <w:rPr>
          <w:rFonts w:ascii="Times New Roman" w:hAnsi="Times New Roman" w:cs="Times New Roman"/>
          <w:sz w:val="24"/>
          <w:szCs w:val="24"/>
        </w:rPr>
        <w:t>M/s Bayer Corporation of USA is the patentee for the drug called ‘</w:t>
      </w:r>
      <w:proofErr w:type="spellStart"/>
      <w:r w:rsidRPr="00912C1E">
        <w:rPr>
          <w:rFonts w:ascii="Times New Roman" w:hAnsi="Times New Roman" w:cs="Times New Roman"/>
          <w:sz w:val="24"/>
          <w:szCs w:val="24"/>
        </w:rPr>
        <w:t>Sorafenib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tosylate</w:t>
      </w:r>
      <w:proofErr w:type="spellEnd"/>
      <w:r w:rsidRPr="00912C1E">
        <w:rPr>
          <w:rFonts w:ascii="Times New Roman" w:hAnsi="Times New Roman" w:cs="Times New Roman"/>
          <w:sz w:val="24"/>
          <w:szCs w:val="24"/>
        </w:rPr>
        <w:t>’ in India.</w:t>
      </w:r>
    </w:p>
    <w:p w:rsidR="00912C1E" w:rsidRPr="00912C1E" w:rsidRDefault="00912C1E" w:rsidP="00260553">
      <w:pPr>
        <w:pStyle w:val="ListParagraph"/>
        <w:numPr>
          <w:ilvl w:val="0"/>
          <w:numId w:val="4"/>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The said drug is also manufactured and sold by two Indian generic companies, viz., M/s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xml:space="preserve"> and M/s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Ltd.,</w:t>
      </w:r>
    </w:p>
    <w:p w:rsidR="00912C1E" w:rsidRPr="00912C1E" w:rsidRDefault="00912C1E" w:rsidP="00260553">
      <w:pPr>
        <w:pStyle w:val="ListParagraph"/>
        <w:numPr>
          <w:ilvl w:val="0"/>
          <w:numId w:val="4"/>
        </w:num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 M/s Bayer Corporation has filed infringement suits against these two companies and the matter was (is) </w:t>
      </w:r>
      <w:proofErr w:type="spellStart"/>
      <w:r w:rsidRPr="00912C1E">
        <w:rPr>
          <w:rFonts w:ascii="Times New Roman" w:hAnsi="Times New Roman" w:cs="Times New Roman"/>
          <w:sz w:val="24"/>
          <w:szCs w:val="24"/>
        </w:rPr>
        <w:t>subjudice</w:t>
      </w:r>
      <w:proofErr w:type="spellEnd"/>
      <w:r w:rsidRPr="00912C1E">
        <w:rPr>
          <w:rFonts w:ascii="Times New Roman" w:hAnsi="Times New Roman" w:cs="Times New Roman"/>
          <w:sz w:val="24"/>
          <w:szCs w:val="24"/>
        </w:rPr>
        <w:t xml:space="preserve">. </w:t>
      </w:r>
    </w:p>
    <w:p w:rsidR="00912C1E" w:rsidRPr="00912C1E" w:rsidRDefault="00912C1E" w:rsidP="00260553">
      <w:pPr>
        <w:pStyle w:val="ListParagraph"/>
        <w:numPr>
          <w:ilvl w:val="0"/>
          <w:numId w:val="4"/>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M/s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xml:space="preserve"> has filed for a compulsory license before the Controller of Patents.</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Bayer has filed first application for patent with USPTO on 13th January 1999. Filed an International application [PCT/US2000/000648] on 12th January 2000. Entered National Phase in India on 5th July 2001. Patent was granted on 3rd March 2008. </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Application for CL, under normal circumstances was filed on 29th July 2011. M/s Bayer Corporation sought of stay in the proceedings of CL as an infringement suit is pending against M/s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xml:space="preserve"> in Delhi High Court.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Controller has refused to stay the proceedings.</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Review petition was filed by Patentee / Opponent to consider the stay of proceedings in view of the contempt proceedings against M/s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who is the Applicant for CL.</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Review petition was also dismissed by the Controller.</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Controller thought the applicant [M/s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is the person interested according to the Act.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Controller has concluded that there is a prima facie case under the provisions of the Section 87(1) of the Patents Act.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Ordered the applicant to serve a copy of the application to the Opponent [Patentee-M/s Bayer Corporation] through the order dated 9th August 2011.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Application was published in the Official Gazette on 12th August 2011. [Section 87(1)]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If the Patentee desires to oppose CL application he has to do so [by filing Form-14 (1500-6000)]within 2 months from the date of publication [Rule 98]</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Patentee sought one month extension to file a notice of opposition which was granted; therefore the due date falls on 12th November 2011.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An Interlocutory Petition was filed by the Patentee on 7th October 2011 seeking stay in this matter as infringement suits are pending in the High Court.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The request of stay was refused by the Controller through the Order dated 27th October 2011.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Review petition was filed by the Patentee which was refused by the Controller through the Order dated 21st December 2011.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Patentee filed a writ petition [2194/2011] before the Bombay High Court challenging the dismissal order dated 21st December 2011.</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Upon consideration of the facts Bombay High court has refused the petition expressing that the Petitioner has liberty to file writ petition before the Delhi High Court.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Accordingly the Patentee has filed a writ petition [8062/2011] before the Delhi High Court.</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Delhi High Court has held that the Controller has established a prima facie case hence the petitioner has to plead before the Controller for remedy. Therefore the petitioner has withdrawn the petition.</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Under the provisions of Section 86(1) of the Patents Act, if the Patentee satisfactorily proves that the working of the invention could not be exploited to the fullest extent then the Controller may postpone the hearing to a later date but not exceeding 12 months in aggregate.</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If the invention could not be worked because of any Central / State Act, Rule or Regulation then the said 12 month period has to be reckoned from the date of expiry of such Act, Rule or Regulation</w:t>
      </w:r>
    </w:p>
    <w:p w:rsidR="00912C1E" w:rsidRPr="00912C1E" w:rsidRDefault="00912C1E" w:rsidP="00260553">
      <w:pPr>
        <w:pStyle w:val="ListParagraph"/>
        <w:numPr>
          <w:ilvl w:val="0"/>
          <w:numId w:val="3"/>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Findings of the Controller </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Relied on the provisions of the Section 86(2) which reads; “No adjournment under subsection 1 shall be ordered unless the Controller is satisfied that the patentee has taken with promptitude adequate or reasonable steps to start the working of the invention in the territory of India on a commercial scale and to an adequate extent”, and</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On the provisions of the Section 84(6</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iv) wherein it is stated that the Controller has to ascertain whether the applicant for CL has made efforts to obtain a license from the patentee on reasonable terms and conditions and such efforts have not been successful within a reasonable period before applying for CL but the Controller shall not be required to take into account matters subsequent to making of the application. </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Patentee has claimed that due to </w:t>
      </w:r>
      <w:proofErr w:type="spellStart"/>
      <w:r w:rsidRPr="00912C1E">
        <w:rPr>
          <w:rFonts w:ascii="Times New Roman" w:hAnsi="Times New Roman" w:cs="Times New Roman"/>
          <w:sz w:val="24"/>
          <w:szCs w:val="24"/>
        </w:rPr>
        <w:t>Cipla’s</w:t>
      </w:r>
      <w:proofErr w:type="spellEnd"/>
      <w:r w:rsidRPr="00912C1E">
        <w:rPr>
          <w:rFonts w:ascii="Times New Roman" w:hAnsi="Times New Roman" w:cs="Times New Roman"/>
          <w:sz w:val="24"/>
          <w:szCs w:val="24"/>
        </w:rPr>
        <w:t xml:space="preserve"> market the patentee could not work the invention to the fullest extent.</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Patentee agreed to sell the drug under PAP [Patient Assistance Program] at a lower cost to the deserved patients.</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The Controller felt that the Patentee got the license in India to import and distribute the drug since 1st August 2007 and another similar license on 22nd January 2008. In fact the said drug was launched in many countries since 2006. Despite having licenses the patentee has imported the said drug in lesser quantities. PAP assistance is after thought that is after the filing of CL and therefore need not to be considered as the Controller is not empowered because of the restriction imposed on the Controller through the Section 84(6</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iv).</w:t>
      </w:r>
    </w:p>
    <w:p w:rsidR="00912C1E" w:rsidRP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Patentee has filed an infringement suit against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and they have entered the market only in April 2010</w:t>
      </w:r>
    </w:p>
    <w:p w:rsidR="00912C1E" w:rsidRDefault="00912C1E" w:rsidP="00260553">
      <w:pPr>
        <w:pStyle w:val="ListParagraph"/>
        <w:numPr>
          <w:ilvl w:val="0"/>
          <w:numId w:val="5"/>
        </w:numPr>
        <w:spacing w:after="0"/>
        <w:jc w:val="both"/>
        <w:rPr>
          <w:rFonts w:ascii="Times New Roman" w:hAnsi="Times New Roman" w:cs="Times New Roman"/>
          <w:sz w:val="24"/>
          <w:szCs w:val="24"/>
        </w:rPr>
      </w:pPr>
      <w:r w:rsidRPr="00912C1E">
        <w:rPr>
          <w:rFonts w:ascii="Times New Roman" w:hAnsi="Times New Roman" w:cs="Times New Roman"/>
          <w:sz w:val="24"/>
          <w:szCs w:val="24"/>
        </w:rPr>
        <w:t>Patentee has therefore has failed to show that the time was insufficient to work the invention to the fullest extent.</w:t>
      </w:r>
    </w:p>
    <w:p w:rsidR="00912C1E" w:rsidRPr="00912C1E" w:rsidRDefault="00912C1E" w:rsidP="00912C1E">
      <w:pPr>
        <w:pStyle w:val="ListParagraph"/>
        <w:spacing w:after="0"/>
        <w:jc w:val="both"/>
        <w:rPr>
          <w:rFonts w:ascii="Times New Roman" w:hAnsi="Times New Roman" w:cs="Times New Roman"/>
          <w:sz w:val="24"/>
          <w:szCs w:val="24"/>
        </w:rPr>
      </w:pP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FIRST GROUND U/S 84(a), PLEADINGS &amp; DECISION</w:t>
      </w:r>
    </w:p>
    <w:p w:rsidR="00912C1E" w:rsidRPr="00912C1E" w:rsidRDefault="00912C1E" w:rsidP="00260553">
      <w:pPr>
        <w:pStyle w:val="ListParagraph"/>
        <w:numPr>
          <w:ilvl w:val="0"/>
          <w:numId w:val="6"/>
        </w:numPr>
        <w:spacing w:after="0"/>
        <w:jc w:val="both"/>
        <w:rPr>
          <w:rFonts w:ascii="Times New Roman" w:hAnsi="Times New Roman" w:cs="Times New Roman"/>
          <w:sz w:val="24"/>
          <w:szCs w:val="24"/>
        </w:rPr>
      </w:pPr>
      <w:r w:rsidRPr="00912C1E">
        <w:rPr>
          <w:rFonts w:ascii="Times New Roman" w:hAnsi="Times New Roman" w:cs="Times New Roman"/>
          <w:sz w:val="24"/>
          <w:szCs w:val="24"/>
        </w:rPr>
        <w:t>That the reasonable requirements of the public with respect to the patented invention have not been satisfied, or</w:t>
      </w:r>
    </w:p>
    <w:p w:rsidR="00912C1E" w:rsidRDefault="00912C1E" w:rsidP="00912C1E">
      <w:pPr>
        <w:pStyle w:val="ListParagraph"/>
        <w:spacing w:after="0"/>
        <w:rPr>
          <w:rFonts w:ascii="Times New Roman" w:hAnsi="Times New Roman" w:cs="Times New Roman"/>
          <w:b/>
          <w:sz w:val="24"/>
          <w:szCs w:val="24"/>
        </w:rPr>
      </w:pPr>
    </w:p>
    <w:p w:rsidR="00912C1E" w:rsidRPr="00912C1E" w:rsidRDefault="00912C1E" w:rsidP="00912C1E">
      <w:pPr>
        <w:pStyle w:val="ListParagraph"/>
        <w:spacing w:after="0"/>
        <w:rPr>
          <w:rFonts w:ascii="Times New Roman" w:hAnsi="Times New Roman" w:cs="Times New Roman"/>
          <w:b/>
          <w:sz w:val="24"/>
          <w:szCs w:val="24"/>
        </w:rPr>
      </w:pPr>
      <w:r w:rsidRPr="00912C1E">
        <w:rPr>
          <w:rFonts w:ascii="Times New Roman" w:hAnsi="Times New Roman" w:cs="Times New Roman"/>
          <w:b/>
          <w:sz w:val="24"/>
          <w:szCs w:val="24"/>
        </w:rPr>
        <w:t>APPLICANT’S ARGUMENTS</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About 20,000 patients are suffering from liver cancer and around 8900 patients are suffering from kidney cancer in India. [According studies made by GLOBOCAN, a project under WHO]</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Around 80% of the patients require the drug in question as these patients are diagnosed for cancer at advanced stage.</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Therefore bottles per month required are 16000 for liver cancer patients and 7120 for kidney cancer patients.</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Bottles imported by the Patentee in 2008 are NIL; in 2009 it is nearly 200 bottles; in 2010 the data is not available from the Patentee’s records. In other words not even 1% of the patients are provided with the drug in question.</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The drug in question was made available only in pharmacies attached to certain hospitals and made available only in metro cities and not made available in rural areas.</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Patentee has made sales in the entire world  and sales turn over in 2006 was $165 million and gradually rose to $934 million in 2010 whereas in India the sales from 2006 to 2008 is NIL and in 2008 it is shown as 16 </w:t>
      </w:r>
      <w:proofErr w:type="spellStart"/>
      <w:r w:rsidRPr="00912C1E">
        <w:rPr>
          <w:rFonts w:ascii="Times New Roman" w:hAnsi="Times New Roman" w:cs="Times New Roman"/>
          <w:sz w:val="24"/>
          <w:szCs w:val="24"/>
        </w:rPr>
        <w:t>crores</w:t>
      </w:r>
      <w:proofErr w:type="spellEnd"/>
      <w:r w:rsidRPr="00912C1E">
        <w:rPr>
          <w:rFonts w:ascii="Times New Roman" w:hAnsi="Times New Roman" w:cs="Times New Roman"/>
          <w:sz w:val="24"/>
          <w:szCs w:val="24"/>
        </w:rPr>
        <w:t xml:space="preserve"> and the figure for 2010 is not available.</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supplies from M/s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can not</w:t>
      </w:r>
      <w:proofErr w:type="spellEnd"/>
      <w:r w:rsidRPr="00912C1E">
        <w:rPr>
          <w:rFonts w:ascii="Times New Roman" w:hAnsi="Times New Roman" w:cs="Times New Roman"/>
          <w:sz w:val="24"/>
          <w:szCs w:val="24"/>
        </w:rPr>
        <w:t xml:space="preserve"> be taken into account as there is an infringement suit and the supply may be stopped at any time.</w:t>
      </w:r>
    </w:p>
    <w:p w:rsidR="00912C1E" w:rsidRPr="00912C1E" w:rsidRDefault="00912C1E" w:rsidP="00260553">
      <w:pPr>
        <w:pStyle w:val="ListParagraph"/>
        <w:numPr>
          <w:ilvl w:val="0"/>
          <w:numId w:val="7"/>
        </w:numPr>
        <w:spacing w:after="0"/>
        <w:jc w:val="both"/>
        <w:rPr>
          <w:rFonts w:ascii="Times New Roman" w:hAnsi="Times New Roman" w:cs="Times New Roman"/>
          <w:sz w:val="24"/>
          <w:szCs w:val="24"/>
        </w:rPr>
      </w:pPr>
      <w:r w:rsidRPr="00912C1E">
        <w:rPr>
          <w:rFonts w:ascii="Times New Roman" w:hAnsi="Times New Roman" w:cs="Times New Roman"/>
          <w:sz w:val="24"/>
          <w:szCs w:val="24"/>
        </w:rPr>
        <w:t>Availability of the drug shall not be measured only on Field Force or Field Strength of the Patentee.</w:t>
      </w:r>
    </w:p>
    <w:p w:rsidR="00912C1E" w:rsidRDefault="00912C1E" w:rsidP="00912C1E">
      <w:pPr>
        <w:pStyle w:val="ListParagraph"/>
        <w:spacing w:after="0"/>
        <w:jc w:val="both"/>
        <w:rPr>
          <w:rFonts w:ascii="Times New Roman" w:hAnsi="Times New Roman" w:cs="Times New Roman"/>
          <w:b/>
          <w:sz w:val="24"/>
          <w:szCs w:val="24"/>
        </w:rPr>
      </w:pPr>
    </w:p>
    <w:p w:rsidR="00912C1E" w:rsidRPr="00912C1E" w:rsidRDefault="00912C1E" w:rsidP="00912C1E">
      <w:pPr>
        <w:pStyle w:val="ListParagraph"/>
        <w:spacing w:after="0"/>
        <w:jc w:val="both"/>
        <w:rPr>
          <w:rFonts w:ascii="Times New Roman" w:hAnsi="Times New Roman" w:cs="Times New Roman"/>
          <w:b/>
          <w:sz w:val="24"/>
          <w:szCs w:val="24"/>
        </w:rPr>
      </w:pPr>
      <w:r w:rsidRPr="00912C1E">
        <w:rPr>
          <w:rFonts w:ascii="Times New Roman" w:hAnsi="Times New Roman" w:cs="Times New Roman"/>
          <w:b/>
          <w:sz w:val="24"/>
          <w:szCs w:val="24"/>
        </w:rPr>
        <w:t>ARGUMENTS BY THE PATENTEE</w:t>
      </w:r>
    </w:p>
    <w:p w:rsidR="00912C1E" w:rsidRPr="00912C1E" w:rsidRDefault="00912C1E" w:rsidP="00260553">
      <w:pPr>
        <w:pStyle w:val="ListParagraph"/>
        <w:numPr>
          <w:ilvl w:val="0"/>
          <w:numId w:val="8"/>
        </w:numPr>
        <w:spacing w:after="0"/>
        <w:jc w:val="both"/>
        <w:rPr>
          <w:rFonts w:ascii="Times New Roman" w:hAnsi="Times New Roman" w:cs="Times New Roman"/>
          <w:b/>
          <w:sz w:val="24"/>
          <w:szCs w:val="24"/>
        </w:rPr>
      </w:pPr>
      <w:r w:rsidRPr="00912C1E">
        <w:rPr>
          <w:rFonts w:ascii="Times New Roman" w:hAnsi="Times New Roman" w:cs="Times New Roman"/>
          <w:sz w:val="24"/>
          <w:szCs w:val="24"/>
        </w:rPr>
        <w:t>According studies made by GLOBOCAN, the estimated incidence of kidney cancer in India is 8900 and the mortality is 5733 patients [64.4%]</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Only 8010 account for RCC [90% of 8900] and 33.33% of 8010=2669 patients are found to be in stage IV and the remaining 5341 patients suffer from stage I,II and III</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5341 patients undergo surgical resection for localized disease with a curative intent and there is a chance of 25% recurrence, hence 1335 patients [25% of 5341] require the drug in question.</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the total number of patients require the drug are 4004 patients.[1335+2669=4004]</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According studies made by GLOBOCAN, the estimated incidence of liver cancer in India is 20144 and the mortality is 18043 patients [89.5%].</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Approximately 24% of 20144 are in advanced state which equals to 4838 patients require the drug in question.</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the total number of patients required the drug in question is 4004+4838=8842.</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Denying that the drug is made available only in cities but not in rural areas the treatment shall be done with the supervision of Oncologists who are specialists in their profession and therefore the drug was made available accordingly.</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Affordability and accessibility are two different terms and shall not be confused that the price of the drug is the stumbling block for accessibility.</w:t>
      </w:r>
    </w:p>
    <w:p w:rsidR="00912C1E" w:rsidRPr="00912C1E" w:rsidRDefault="00912C1E" w:rsidP="00260553">
      <w:pPr>
        <w:pStyle w:val="ListParagraph"/>
        <w:numPr>
          <w:ilvl w:val="0"/>
          <w:numId w:val="8"/>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M/s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has supplied 4686 boxes and M/s Bayer Corporation has supplied 593 boxes in the year 2011. The projected figure together for the year 2015 is 9463 which outnumbers the required patient number of 8842.</w:t>
      </w:r>
    </w:p>
    <w:p w:rsidR="00912C1E" w:rsidRDefault="00912C1E" w:rsidP="00912C1E">
      <w:pPr>
        <w:pStyle w:val="ListParagraph"/>
        <w:spacing w:after="0"/>
        <w:jc w:val="both"/>
        <w:rPr>
          <w:rFonts w:ascii="Times New Roman" w:hAnsi="Times New Roman" w:cs="Times New Roman"/>
          <w:b/>
          <w:sz w:val="24"/>
          <w:szCs w:val="24"/>
        </w:rPr>
      </w:pPr>
    </w:p>
    <w:p w:rsidR="00912C1E" w:rsidRDefault="00912C1E" w:rsidP="00912C1E">
      <w:pPr>
        <w:pStyle w:val="ListParagraph"/>
        <w:spacing w:after="0"/>
        <w:jc w:val="both"/>
        <w:rPr>
          <w:rFonts w:ascii="Times New Roman" w:hAnsi="Times New Roman" w:cs="Times New Roman"/>
          <w:b/>
          <w:sz w:val="24"/>
          <w:szCs w:val="24"/>
        </w:rPr>
      </w:pPr>
    </w:p>
    <w:p w:rsidR="00912C1E" w:rsidRPr="00912C1E" w:rsidRDefault="00912C1E" w:rsidP="00912C1E">
      <w:pPr>
        <w:pStyle w:val="ListParagraph"/>
        <w:spacing w:after="0"/>
        <w:jc w:val="both"/>
        <w:rPr>
          <w:rFonts w:ascii="Times New Roman" w:hAnsi="Times New Roman" w:cs="Times New Roman"/>
          <w:b/>
          <w:sz w:val="24"/>
          <w:szCs w:val="24"/>
        </w:rPr>
      </w:pPr>
      <w:r w:rsidRPr="00912C1E">
        <w:rPr>
          <w:rFonts w:ascii="Times New Roman" w:hAnsi="Times New Roman" w:cs="Times New Roman"/>
          <w:b/>
          <w:sz w:val="24"/>
          <w:szCs w:val="24"/>
        </w:rPr>
        <w:lastRenderedPageBreak/>
        <w:t>DECISION BY THE CONTROLLER</w:t>
      </w:r>
    </w:p>
    <w:p w:rsidR="00912C1E" w:rsidRPr="00912C1E" w:rsidRDefault="00912C1E" w:rsidP="00260553">
      <w:pPr>
        <w:pStyle w:val="ListParagraph"/>
        <w:numPr>
          <w:ilvl w:val="0"/>
          <w:numId w:val="9"/>
        </w:numPr>
        <w:spacing w:after="0"/>
        <w:jc w:val="both"/>
        <w:rPr>
          <w:rFonts w:ascii="Times New Roman" w:hAnsi="Times New Roman" w:cs="Times New Roman"/>
          <w:b/>
          <w:sz w:val="24"/>
          <w:szCs w:val="24"/>
        </w:rPr>
      </w:pPr>
      <w:r w:rsidRPr="00912C1E">
        <w:rPr>
          <w:rFonts w:ascii="Times New Roman" w:hAnsi="Times New Roman" w:cs="Times New Roman"/>
          <w:sz w:val="24"/>
          <w:szCs w:val="24"/>
        </w:rPr>
        <w:t>As no other data is available the Controller is constrained to the figures provided by the GLOBOCAN.</w:t>
      </w:r>
    </w:p>
    <w:p w:rsidR="00912C1E" w:rsidRPr="00912C1E" w:rsidRDefault="00912C1E" w:rsidP="00260553">
      <w:pPr>
        <w:pStyle w:val="ListParagraph"/>
        <w:numPr>
          <w:ilvl w:val="0"/>
          <w:numId w:val="9"/>
        </w:numPr>
        <w:spacing w:after="0"/>
        <w:jc w:val="both"/>
        <w:rPr>
          <w:rFonts w:ascii="Times New Roman" w:hAnsi="Times New Roman" w:cs="Times New Roman"/>
          <w:b/>
          <w:sz w:val="24"/>
          <w:szCs w:val="24"/>
        </w:rPr>
      </w:pPr>
      <w:r w:rsidRPr="00912C1E">
        <w:rPr>
          <w:rFonts w:ascii="Times New Roman" w:hAnsi="Times New Roman" w:cs="Times New Roman"/>
          <w:sz w:val="24"/>
          <w:szCs w:val="24"/>
        </w:rPr>
        <w:t>Agreeing with the applicant that the immediate requirement of bottles is 16000+7120=23120 it is concluded that the Patentee has not met with the reasonable requirement of the public.</w:t>
      </w:r>
    </w:p>
    <w:p w:rsidR="00912C1E" w:rsidRPr="00912C1E" w:rsidRDefault="00912C1E" w:rsidP="00260553">
      <w:pPr>
        <w:pStyle w:val="ListParagraph"/>
        <w:numPr>
          <w:ilvl w:val="0"/>
          <w:numId w:val="9"/>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Since it is the duty of the Patentee to make the drug in question sufficiently available to the public, M/s </w:t>
      </w:r>
      <w:proofErr w:type="spellStart"/>
      <w:r w:rsidRPr="00912C1E">
        <w:rPr>
          <w:rFonts w:ascii="Times New Roman" w:hAnsi="Times New Roman" w:cs="Times New Roman"/>
          <w:sz w:val="24"/>
          <w:szCs w:val="24"/>
        </w:rPr>
        <w:t>Cipla’s</w:t>
      </w:r>
      <w:proofErr w:type="spellEnd"/>
      <w:r w:rsidRPr="00912C1E">
        <w:rPr>
          <w:rFonts w:ascii="Times New Roman" w:hAnsi="Times New Roman" w:cs="Times New Roman"/>
          <w:sz w:val="24"/>
          <w:szCs w:val="24"/>
        </w:rPr>
        <w:t xml:space="preserve"> contribution [who in terms of the patentee </w:t>
      </w:r>
      <w:proofErr w:type="gramStart"/>
      <w:r w:rsidRPr="00912C1E">
        <w:rPr>
          <w:rFonts w:ascii="Times New Roman" w:hAnsi="Times New Roman" w:cs="Times New Roman"/>
          <w:sz w:val="24"/>
          <w:szCs w:val="24"/>
        </w:rPr>
        <w:t>is</w:t>
      </w:r>
      <w:proofErr w:type="gramEnd"/>
      <w:r w:rsidRPr="00912C1E">
        <w:rPr>
          <w:rFonts w:ascii="Times New Roman" w:hAnsi="Times New Roman" w:cs="Times New Roman"/>
          <w:sz w:val="24"/>
          <w:szCs w:val="24"/>
        </w:rPr>
        <w:t xml:space="preserve"> alleged infringer and the case is being fought in the court] is not considered. Besides M/s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is not the license holder and therefore </w:t>
      </w:r>
      <w:proofErr w:type="spellStart"/>
      <w:r w:rsidRPr="00912C1E">
        <w:rPr>
          <w:rFonts w:ascii="Times New Roman" w:hAnsi="Times New Roman" w:cs="Times New Roman"/>
          <w:sz w:val="24"/>
          <w:szCs w:val="24"/>
        </w:rPr>
        <w:t>can not</w:t>
      </w:r>
      <w:proofErr w:type="spellEnd"/>
      <w:r w:rsidRPr="00912C1E">
        <w:rPr>
          <w:rFonts w:ascii="Times New Roman" w:hAnsi="Times New Roman" w:cs="Times New Roman"/>
          <w:sz w:val="24"/>
          <w:szCs w:val="24"/>
        </w:rPr>
        <w:t xml:space="preserve"> fulfill the obligations of the Patentee.</w:t>
      </w:r>
    </w:p>
    <w:p w:rsidR="00912C1E" w:rsidRPr="00912C1E" w:rsidRDefault="00912C1E" w:rsidP="00260553">
      <w:pPr>
        <w:pStyle w:val="ListParagraph"/>
        <w:numPr>
          <w:ilvl w:val="0"/>
          <w:numId w:val="9"/>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Form-27 as filed by the Patentee shows only insignificant number of packs were imported for the year 2010.[340 units of support pack and 340 units of sample pack which amounts to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1,00,45,692/-</w:t>
      </w:r>
    </w:p>
    <w:p w:rsidR="00912C1E" w:rsidRPr="00912C1E" w:rsidRDefault="00912C1E" w:rsidP="00260553">
      <w:pPr>
        <w:pStyle w:val="ListParagraph"/>
        <w:numPr>
          <w:ilvl w:val="0"/>
          <w:numId w:val="9"/>
        </w:numPr>
        <w:spacing w:after="0"/>
        <w:jc w:val="both"/>
        <w:rPr>
          <w:rFonts w:ascii="Times New Roman" w:hAnsi="Times New Roman" w:cs="Times New Roman"/>
          <w:sz w:val="24"/>
          <w:szCs w:val="24"/>
        </w:rPr>
      </w:pPr>
      <w:r w:rsidRPr="00912C1E">
        <w:rPr>
          <w:rFonts w:ascii="Times New Roman" w:hAnsi="Times New Roman" w:cs="Times New Roman"/>
          <w:sz w:val="24"/>
          <w:szCs w:val="24"/>
        </w:rPr>
        <w:t>It is an admitted fact that a patient requires 3 packets for a month the Patentee has made available the drug in question for not more than 200 patients in 2011. Even for argument sake the contribution made by M/</w:t>
      </w:r>
      <w:proofErr w:type="spellStart"/>
      <w:r w:rsidRPr="00912C1E">
        <w:rPr>
          <w:rFonts w:ascii="Times New Roman" w:hAnsi="Times New Roman" w:cs="Times New Roman"/>
          <w:sz w:val="24"/>
          <w:szCs w:val="24"/>
        </w:rPr>
        <w:t>sCipla</w:t>
      </w:r>
      <w:proofErr w:type="spellEnd"/>
      <w:r w:rsidRPr="00912C1E">
        <w:rPr>
          <w:rFonts w:ascii="Times New Roman" w:hAnsi="Times New Roman" w:cs="Times New Roman"/>
          <w:sz w:val="24"/>
          <w:szCs w:val="24"/>
        </w:rPr>
        <w:t xml:space="preserve"> is considered still the supply is inadequate.</w:t>
      </w:r>
    </w:p>
    <w:p w:rsidR="00912C1E" w:rsidRPr="00912C1E" w:rsidRDefault="00912C1E" w:rsidP="00260553">
      <w:pPr>
        <w:pStyle w:val="ListParagraph"/>
        <w:numPr>
          <w:ilvl w:val="0"/>
          <w:numId w:val="9"/>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According to Patentee’s own admission there are around 9000 patients who requires 9000X3=27000 boxes per annum whereas according to the applicant there are 23,000 patients who </w:t>
      </w:r>
      <w:proofErr w:type="spellStart"/>
      <w:r w:rsidRPr="00912C1E">
        <w:rPr>
          <w:rFonts w:ascii="Times New Roman" w:hAnsi="Times New Roman" w:cs="Times New Roman"/>
          <w:sz w:val="24"/>
          <w:szCs w:val="24"/>
        </w:rPr>
        <w:t>inturn</w:t>
      </w:r>
      <w:proofErr w:type="spellEnd"/>
      <w:r w:rsidRPr="00912C1E">
        <w:rPr>
          <w:rFonts w:ascii="Times New Roman" w:hAnsi="Times New Roman" w:cs="Times New Roman"/>
          <w:sz w:val="24"/>
          <w:szCs w:val="24"/>
        </w:rPr>
        <w:t xml:space="preserve"> require 23,000X3=69,000 boxes. Therefore the public requirement has not been met.</w:t>
      </w:r>
    </w:p>
    <w:p w:rsidR="00912C1E" w:rsidRDefault="00912C1E" w:rsidP="00260553">
      <w:pPr>
        <w:pStyle w:val="ListParagraph"/>
        <w:numPr>
          <w:ilvl w:val="0"/>
          <w:numId w:val="9"/>
        </w:numPr>
        <w:spacing w:after="0"/>
        <w:jc w:val="both"/>
        <w:rPr>
          <w:rFonts w:ascii="Times New Roman" w:hAnsi="Times New Roman" w:cs="Times New Roman"/>
          <w:sz w:val="24"/>
          <w:szCs w:val="24"/>
        </w:rPr>
      </w:pPr>
      <w:r w:rsidRPr="00912C1E">
        <w:rPr>
          <w:rFonts w:ascii="Times New Roman" w:hAnsi="Times New Roman" w:cs="Times New Roman"/>
          <w:sz w:val="24"/>
          <w:szCs w:val="24"/>
        </w:rPr>
        <w:t>Patentee has already supplying the product throughout the world and is not justifiable that the patentee is incapable of making the drug available in India.</w:t>
      </w:r>
    </w:p>
    <w:p w:rsidR="00912C1E" w:rsidRPr="00912C1E" w:rsidRDefault="00912C1E" w:rsidP="00912C1E">
      <w:pPr>
        <w:pStyle w:val="ListParagraph"/>
        <w:spacing w:after="0"/>
        <w:ind w:left="1080"/>
        <w:jc w:val="both"/>
        <w:rPr>
          <w:rFonts w:ascii="Times New Roman" w:hAnsi="Times New Roman" w:cs="Times New Roman"/>
          <w:sz w:val="24"/>
          <w:szCs w:val="24"/>
        </w:rPr>
      </w:pP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SECOND GROUND U/S 84(b), PLEADINGS &amp; DECISION</w:t>
      </w:r>
    </w:p>
    <w:p w:rsidR="00912C1E" w:rsidRPr="00912C1E" w:rsidRDefault="00912C1E" w:rsidP="00260553">
      <w:pPr>
        <w:pStyle w:val="ListParagraph"/>
        <w:numPr>
          <w:ilvl w:val="0"/>
          <w:numId w:val="6"/>
        </w:numPr>
        <w:spacing w:after="0"/>
        <w:jc w:val="both"/>
        <w:rPr>
          <w:rFonts w:ascii="Times New Roman" w:hAnsi="Times New Roman" w:cs="Times New Roman"/>
          <w:sz w:val="24"/>
          <w:szCs w:val="24"/>
        </w:rPr>
      </w:pPr>
      <w:r w:rsidRPr="00912C1E">
        <w:rPr>
          <w:rFonts w:ascii="Times New Roman" w:hAnsi="Times New Roman" w:cs="Times New Roman"/>
          <w:sz w:val="24"/>
          <w:szCs w:val="24"/>
        </w:rPr>
        <w:t>That the patented invention is not available to the public at a reasonably affordable price; or</w:t>
      </w:r>
    </w:p>
    <w:p w:rsidR="00912C1E" w:rsidRPr="00912C1E" w:rsidRDefault="00912C1E" w:rsidP="00912C1E">
      <w:pPr>
        <w:pStyle w:val="ListParagraph"/>
        <w:spacing w:after="0"/>
        <w:jc w:val="both"/>
        <w:rPr>
          <w:rFonts w:ascii="Times New Roman" w:hAnsi="Times New Roman" w:cs="Times New Roman"/>
          <w:sz w:val="24"/>
          <w:szCs w:val="24"/>
        </w:rPr>
      </w:pPr>
    </w:p>
    <w:p w:rsidR="00912C1E" w:rsidRPr="00912C1E" w:rsidRDefault="00912C1E" w:rsidP="00912C1E">
      <w:pPr>
        <w:pStyle w:val="ListParagraph"/>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 APPLICANT’S ARGUMENTS</w:t>
      </w:r>
    </w:p>
    <w:p w:rsidR="00912C1E" w:rsidRPr="00912C1E" w:rsidRDefault="00912C1E" w:rsidP="00912C1E">
      <w:pPr>
        <w:pStyle w:val="ListParagraph"/>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i)</w:t>
      </w:r>
      <w:proofErr w:type="gramEnd"/>
      <w:r w:rsidRPr="00912C1E">
        <w:rPr>
          <w:rFonts w:ascii="Times New Roman" w:hAnsi="Times New Roman" w:cs="Times New Roman"/>
          <w:sz w:val="24"/>
          <w:szCs w:val="24"/>
        </w:rPr>
        <w:t>Price of the patented product is too high and simply unaffordable by the common man making the product inaccessible and out of reach.</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There are many ways of determining the affordability according to Mr. C. </w:t>
      </w:r>
      <w:proofErr w:type="spellStart"/>
      <w:r w:rsidRPr="00912C1E">
        <w:rPr>
          <w:rFonts w:ascii="Times New Roman" w:hAnsi="Times New Roman" w:cs="Times New Roman"/>
          <w:sz w:val="24"/>
          <w:szCs w:val="24"/>
        </w:rPr>
        <w:t>Rammanohar</w:t>
      </w:r>
      <w:proofErr w:type="spellEnd"/>
      <w:r w:rsidRPr="00912C1E">
        <w:rPr>
          <w:rFonts w:ascii="Times New Roman" w:hAnsi="Times New Roman" w:cs="Times New Roman"/>
          <w:sz w:val="24"/>
          <w:szCs w:val="24"/>
        </w:rPr>
        <w:t xml:space="preserve"> Reddy, the Editor of Economic and Political Weekly;</w:t>
      </w:r>
    </w:p>
    <w:p w:rsidR="00912C1E" w:rsidRPr="00912C1E" w:rsidRDefault="00912C1E" w:rsidP="00260553">
      <w:pPr>
        <w:pStyle w:val="ListParagraph"/>
        <w:numPr>
          <w:ilvl w:val="0"/>
          <w:numId w:val="10"/>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According to the approach as provided in the </w:t>
      </w:r>
      <w:proofErr w:type="spellStart"/>
      <w:r w:rsidRPr="00912C1E">
        <w:rPr>
          <w:rFonts w:ascii="Times New Roman" w:hAnsi="Times New Roman" w:cs="Times New Roman"/>
          <w:sz w:val="24"/>
          <w:szCs w:val="24"/>
        </w:rPr>
        <w:t>Bulliten</w:t>
      </w:r>
      <w:proofErr w:type="spellEnd"/>
      <w:r w:rsidRPr="00912C1E">
        <w:rPr>
          <w:rFonts w:ascii="Times New Roman" w:hAnsi="Times New Roman" w:cs="Times New Roman"/>
          <w:sz w:val="24"/>
          <w:szCs w:val="24"/>
        </w:rPr>
        <w:t xml:space="preserve"> of the WHO April 2007; 85(4) by Shanti </w:t>
      </w:r>
      <w:proofErr w:type="spellStart"/>
      <w:r w:rsidRPr="00912C1E">
        <w:rPr>
          <w:rFonts w:ascii="Times New Roman" w:hAnsi="Times New Roman" w:cs="Times New Roman"/>
          <w:sz w:val="24"/>
          <w:szCs w:val="24"/>
        </w:rPr>
        <w:t>Mendis</w:t>
      </w:r>
      <w:proofErr w:type="spellEnd"/>
      <w:r w:rsidRPr="00912C1E">
        <w:rPr>
          <w:rFonts w:ascii="Times New Roman" w:hAnsi="Times New Roman" w:cs="Times New Roman"/>
          <w:sz w:val="24"/>
          <w:szCs w:val="24"/>
        </w:rPr>
        <w:t xml:space="preserve"> et al., the number of days required by a lowest paid government worker to purchase a month’s course of medicine of a standard dose of medicine from public sector has to be considered. In the present instance since the cost of the Patentee’s medicine is Rs.2</w:t>
      </w:r>
      <w:proofErr w:type="gramStart"/>
      <w:r w:rsidRPr="00912C1E">
        <w:rPr>
          <w:rFonts w:ascii="Times New Roman" w:hAnsi="Times New Roman" w:cs="Times New Roman"/>
          <w:sz w:val="24"/>
          <w:szCs w:val="24"/>
        </w:rPr>
        <w:t>,80,000</w:t>
      </w:r>
      <w:proofErr w:type="gramEnd"/>
      <w:r w:rsidRPr="00912C1E">
        <w:rPr>
          <w:rFonts w:ascii="Times New Roman" w:hAnsi="Times New Roman" w:cs="Times New Roman"/>
          <w:sz w:val="24"/>
          <w:szCs w:val="24"/>
        </w:rPr>
        <w:t>/- per month and according to the Indian standards the lowest earning government employee needs to work for three and half years.</w:t>
      </w:r>
    </w:p>
    <w:p w:rsidR="00912C1E" w:rsidRPr="00912C1E" w:rsidRDefault="00912C1E" w:rsidP="00260553">
      <w:pPr>
        <w:pStyle w:val="ListParagraph"/>
        <w:numPr>
          <w:ilvl w:val="0"/>
          <w:numId w:val="10"/>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According to Laurens M </w:t>
      </w:r>
      <w:proofErr w:type="spellStart"/>
      <w:r w:rsidRPr="00912C1E">
        <w:rPr>
          <w:rFonts w:ascii="Times New Roman" w:hAnsi="Times New Roman" w:cs="Times New Roman"/>
          <w:sz w:val="24"/>
          <w:szCs w:val="24"/>
        </w:rPr>
        <w:t>Niens</w:t>
      </w:r>
      <w:proofErr w:type="spellEnd"/>
      <w:r w:rsidRPr="00912C1E">
        <w:rPr>
          <w:rFonts w:ascii="Times New Roman" w:hAnsi="Times New Roman" w:cs="Times New Roman"/>
          <w:sz w:val="24"/>
          <w:szCs w:val="24"/>
        </w:rPr>
        <w:t xml:space="preserve"> et al impoverishment of the medicine shall be considered for the affordability of medicine. According to Indian norms a family of five having the annual income above Rs.57</w:t>
      </w:r>
      <w:proofErr w:type="gramStart"/>
      <w:r w:rsidRPr="00912C1E">
        <w:rPr>
          <w:rFonts w:ascii="Times New Roman" w:hAnsi="Times New Roman" w:cs="Times New Roman"/>
          <w:sz w:val="24"/>
          <w:szCs w:val="24"/>
        </w:rPr>
        <w:t>,660</w:t>
      </w:r>
      <w:proofErr w:type="gramEnd"/>
      <w:r w:rsidRPr="00912C1E">
        <w:rPr>
          <w:rFonts w:ascii="Times New Roman" w:hAnsi="Times New Roman" w:cs="Times New Roman"/>
          <w:sz w:val="24"/>
          <w:szCs w:val="24"/>
        </w:rPr>
        <w:t xml:space="preserve">/-  from urban area and </w:t>
      </w:r>
      <w:r w:rsidRPr="00912C1E">
        <w:rPr>
          <w:rFonts w:ascii="Times New Roman" w:hAnsi="Times New Roman" w:cs="Times New Roman"/>
          <w:sz w:val="24"/>
          <w:szCs w:val="24"/>
        </w:rPr>
        <w:lastRenderedPageBreak/>
        <w:t>Rs.47,088/- from rural areas are above the poverty line. Therefore the cost of patented medicine which stands at Rs.2</w:t>
      </w:r>
      <w:proofErr w:type="gramStart"/>
      <w:r w:rsidRPr="00912C1E">
        <w:rPr>
          <w:rFonts w:ascii="Times New Roman" w:hAnsi="Times New Roman" w:cs="Times New Roman"/>
          <w:sz w:val="24"/>
          <w:szCs w:val="24"/>
        </w:rPr>
        <w:t>,80,000</w:t>
      </w:r>
      <w:proofErr w:type="gramEnd"/>
      <w:r w:rsidRPr="00912C1E">
        <w:rPr>
          <w:rFonts w:ascii="Times New Roman" w:hAnsi="Times New Roman" w:cs="Times New Roman"/>
          <w:sz w:val="24"/>
          <w:szCs w:val="24"/>
        </w:rPr>
        <w:t>/- will push majority of the population below the poverty line. Of course, the cost of medicine shall include manufacturing cost, administrative expenses, taxes to be paid plus a marginal profit for the sustainability of the manufacturer.</w:t>
      </w:r>
    </w:p>
    <w:p w:rsidR="00912C1E" w:rsidRPr="00912C1E" w:rsidRDefault="00912C1E" w:rsidP="00260553">
      <w:pPr>
        <w:pStyle w:val="ListParagraph"/>
        <w:numPr>
          <w:ilvl w:val="0"/>
          <w:numId w:val="10"/>
        </w:numPr>
        <w:spacing w:after="0"/>
        <w:jc w:val="both"/>
        <w:rPr>
          <w:rFonts w:ascii="Times New Roman" w:hAnsi="Times New Roman" w:cs="Times New Roman"/>
          <w:sz w:val="24"/>
          <w:szCs w:val="24"/>
        </w:rPr>
      </w:pPr>
      <w:r w:rsidRPr="00912C1E">
        <w:rPr>
          <w:rFonts w:ascii="Times New Roman" w:hAnsi="Times New Roman" w:cs="Times New Roman"/>
          <w:sz w:val="24"/>
          <w:szCs w:val="24"/>
        </w:rPr>
        <w:t>According to the World Bank estimates the Indian National Gross Income per capita for the year 2010 is approximately $1338 which is approximately equal to Rs.60</w:t>
      </w:r>
      <w:proofErr w:type="gramStart"/>
      <w:r w:rsidRPr="00912C1E">
        <w:rPr>
          <w:rFonts w:ascii="Times New Roman" w:hAnsi="Times New Roman" w:cs="Times New Roman"/>
          <w:sz w:val="24"/>
          <w:szCs w:val="24"/>
        </w:rPr>
        <w:t>,445</w:t>
      </w:r>
      <w:proofErr w:type="gramEnd"/>
      <w:r w:rsidRPr="00912C1E">
        <w:rPr>
          <w:rFonts w:ascii="Times New Roman" w:hAnsi="Times New Roman" w:cs="Times New Roman"/>
          <w:sz w:val="24"/>
          <w:szCs w:val="24"/>
        </w:rPr>
        <w:t>/- The present pricing of the drug shatters the  notions of cost effectiveness.</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Bayer had received FDA designation for the drug in question under US Orphan Drug Act 2004 and therefore is eligible for 50% orphan drug tax credit which lowers the cost of the drug.</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the first year of the market Patentee has shown $167 million as net sales the amount of which is equal to total R&amp;D cost of M/s </w:t>
      </w:r>
      <w:proofErr w:type="spellStart"/>
      <w:r w:rsidRPr="00912C1E">
        <w:rPr>
          <w:rFonts w:ascii="Times New Roman" w:hAnsi="Times New Roman" w:cs="Times New Roman"/>
          <w:sz w:val="24"/>
          <w:szCs w:val="24"/>
        </w:rPr>
        <w:t>Bayor</w:t>
      </w:r>
      <w:proofErr w:type="spellEnd"/>
      <w:r w:rsidRPr="00912C1E">
        <w:rPr>
          <w:rFonts w:ascii="Times New Roman" w:hAnsi="Times New Roman" w:cs="Times New Roman"/>
          <w:sz w:val="24"/>
          <w:szCs w:val="24"/>
        </w:rPr>
        <w:t xml:space="preserve"> from 1994 to 2004. Within 3 years of approval as orphan drug the Patentee had admitted sales of 1.2 billion dollars. R &amp; D costs are not made open to public and when the patentee attributes the cost of the drug to R &amp; D then the Patentee shall make it open on the accounts.</w:t>
      </w:r>
    </w:p>
    <w:p w:rsidR="00912C1E" w:rsidRDefault="00912C1E" w:rsidP="00912C1E">
      <w:pPr>
        <w:pStyle w:val="ListParagraph"/>
        <w:spacing w:after="0"/>
        <w:jc w:val="both"/>
        <w:rPr>
          <w:rFonts w:ascii="Times New Roman" w:hAnsi="Times New Roman" w:cs="Times New Roman"/>
          <w:b/>
          <w:sz w:val="24"/>
          <w:szCs w:val="24"/>
        </w:rPr>
      </w:pPr>
    </w:p>
    <w:p w:rsidR="00912C1E" w:rsidRPr="00912C1E" w:rsidRDefault="00912C1E" w:rsidP="00912C1E">
      <w:pPr>
        <w:pStyle w:val="ListParagraph"/>
        <w:spacing w:after="0"/>
        <w:jc w:val="both"/>
        <w:rPr>
          <w:rFonts w:ascii="Times New Roman" w:hAnsi="Times New Roman" w:cs="Times New Roman"/>
          <w:b/>
          <w:sz w:val="24"/>
          <w:szCs w:val="24"/>
        </w:rPr>
      </w:pPr>
      <w:r w:rsidRPr="00912C1E">
        <w:rPr>
          <w:rFonts w:ascii="Times New Roman" w:hAnsi="Times New Roman" w:cs="Times New Roman"/>
          <w:b/>
          <w:sz w:val="24"/>
          <w:szCs w:val="24"/>
        </w:rPr>
        <w:t>ARGUMENTS OF PATENTEE</w:t>
      </w:r>
    </w:p>
    <w:p w:rsidR="00912C1E" w:rsidRPr="00912C1E" w:rsidRDefault="00912C1E" w:rsidP="00912C1E">
      <w:pPr>
        <w:pStyle w:val="ListParagraph"/>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i)Innovative</w:t>
      </w:r>
      <w:proofErr w:type="gramEnd"/>
      <w:r w:rsidRPr="00912C1E">
        <w:rPr>
          <w:rFonts w:ascii="Times New Roman" w:hAnsi="Times New Roman" w:cs="Times New Roman"/>
          <w:sz w:val="24"/>
          <w:szCs w:val="24"/>
        </w:rPr>
        <w:t xml:space="preserve"> product costs over generics because this price pays for the pipe line [future innovation] and competition.</w:t>
      </w:r>
    </w:p>
    <w:p w:rsidR="00912C1E" w:rsidRPr="00912C1E" w:rsidRDefault="00912C1E" w:rsidP="00912C1E">
      <w:pPr>
        <w:pStyle w:val="ListParagraph"/>
        <w:spacing w:after="0"/>
        <w:jc w:val="both"/>
        <w:rPr>
          <w:rFonts w:ascii="Times New Roman" w:hAnsi="Times New Roman" w:cs="Times New Roman"/>
          <w:sz w:val="24"/>
          <w:szCs w:val="24"/>
        </w:rPr>
      </w:pP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ii</w:t>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price of the Patentee’s drug includes the cost of R &amp; D whereas the price of the Applicant [who has agreed to sell the drug for Rs.8800/- per box] does not have the impact of R &amp; D expenditure and the Applicant is merely copying the product of the Patentee.</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iii) One has to take care of the total expenditure on R &amp; D by a company. Here the Patentee since the year 2007 the cumulative expenditure on R &amp; D is around 8 billion euro wherein only 2 NMEs and One new combination were brought into the market.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iv) The exact criteria to meet the orphan drug status </w:t>
      </w:r>
      <w:proofErr w:type="gramStart"/>
      <w:r w:rsidRPr="00912C1E">
        <w:rPr>
          <w:rFonts w:ascii="Times New Roman" w:hAnsi="Times New Roman" w:cs="Times New Roman"/>
          <w:sz w:val="24"/>
          <w:szCs w:val="24"/>
        </w:rPr>
        <w:t>varies</w:t>
      </w:r>
      <w:proofErr w:type="gramEnd"/>
      <w:r w:rsidRPr="00912C1E">
        <w:rPr>
          <w:rFonts w:ascii="Times New Roman" w:hAnsi="Times New Roman" w:cs="Times New Roman"/>
          <w:sz w:val="24"/>
          <w:szCs w:val="24"/>
        </w:rPr>
        <w:t xml:space="preserve"> among jurisdictions. The drug in question was granted orphan drug status both in US and Europe. US grated the status because the number of patients using this drug falls below 200,000. In Europe one of the criteria to qualify that it must be intended for diagnosis, prevention or life threatening or chronically debilitating condition affecting not more than 5 in 10,000</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v) Just because it is classified as orphan drug the users being less in number does not reduce </w:t>
      </w:r>
      <w:proofErr w:type="gramStart"/>
      <w:r w:rsidRPr="00912C1E">
        <w:rPr>
          <w:rFonts w:ascii="Times New Roman" w:hAnsi="Times New Roman" w:cs="Times New Roman"/>
          <w:sz w:val="24"/>
          <w:szCs w:val="24"/>
        </w:rPr>
        <w:t>the  R</w:t>
      </w:r>
      <w:proofErr w:type="gramEnd"/>
      <w:r w:rsidRPr="00912C1E">
        <w:rPr>
          <w:rFonts w:ascii="Times New Roman" w:hAnsi="Times New Roman" w:cs="Times New Roman"/>
          <w:sz w:val="24"/>
          <w:szCs w:val="24"/>
        </w:rPr>
        <w:t xml:space="preserve">&amp; D costs. In comparison with other cancerous drugs the drug in question is similarly priced but not </w:t>
      </w:r>
      <w:proofErr w:type="spellStart"/>
      <w:r w:rsidRPr="00912C1E">
        <w:rPr>
          <w:rFonts w:ascii="Times New Roman" w:hAnsi="Times New Roman" w:cs="Times New Roman"/>
          <w:sz w:val="24"/>
          <w:szCs w:val="24"/>
        </w:rPr>
        <w:t>over priced</w:t>
      </w:r>
      <w:proofErr w:type="spellEnd"/>
      <w:r w:rsidRPr="00912C1E">
        <w:rPr>
          <w:rFonts w:ascii="Times New Roman" w:hAnsi="Times New Roman" w:cs="Times New Roman"/>
          <w:sz w:val="24"/>
          <w:szCs w:val="24"/>
        </w:rPr>
        <w: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vi) The Patentee needs to fund further to educate the practitioners on the use of the product and </w:t>
      </w:r>
      <w:proofErr w:type="spellStart"/>
      <w:r w:rsidRPr="00912C1E">
        <w:rPr>
          <w:rFonts w:ascii="Times New Roman" w:hAnsi="Times New Roman" w:cs="Times New Roman"/>
          <w:sz w:val="24"/>
          <w:szCs w:val="24"/>
        </w:rPr>
        <w:t>pharmacovigilance</w:t>
      </w:r>
      <w:proofErr w:type="spellEnd"/>
      <w:r w:rsidRPr="00912C1E">
        <w:rPr>
          <w:rFonts w:ascii="Times New Roman" w:hAnsi="Times New Roman" w:cs="Times New Roman"/>
          <w:sz w:val="24"/>
          <w:szCs w:val="24"/>
        </w:rPr>
        <w:t xml:space="preserve"> etc</w:t>
      </w:r>
      <w:proofErr w:type="gramStart"/>
      <w:r w:rsidRPr="00912C1E">
        <w:rPr>
          <w:rFonts w:ascii="Times New Roman" w:hAnsi="Times New Roman" w:cs="Times New Roman"/>
          <w:sz w:val="24"/>
          <w:szCs w:val="24"/>
        </w:rPr>
        <w:t>.,</w:t>
      </w:r>
      <w:proofErr w:type="gramEnd"/>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vii) The word ‘reasonable’ in the phrase ‘reasonably affordable price’ of the Act shall mean ‘reasonable’ for both the patients and the drug originator. Therefore a balance needs to be created. Cost shall include the R &amp; D costs.</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viii) ‘Public’ denotes ‘The rich </w:t>
      </w:r>
      <w:proofErr w:type="gramStart"/>
      <w:r w:rsidRPr="00912C1E">
        <w:rPr>
          <w:rFonts w:ascii="Times New Roman" w:hAnsi="Times New Roman" w:cs="Times New Roman"/>
          <w:sz w:val="24"/>
          <w:szCs w:val="24"/>
        </w:rPr>
        <w:t>class’</w:t>
      </w:r>
      <w:proofErr w:type="gramEnd"/>
      <w:r w:rsidRPr="00912C1E">
        <w:rPr>
          <w:rFonts w:ascii="Times New Roman" w:hAnsi="Times New Roman" w:cs="Times New Roman"/>
          <w:sz w:val="24"/>
          <w:szCs w:val="24"/>
        </w:rPr>
        <w:t xml:space="preserve">, ‘The middle class’ and ‘The poor class’. It was argued that the Applicant has failed to show to which section of the public it is not </w:t>
      </w:r>
      <w:r w:rsidRPr="00912C1E">
        <w:rPr>
          <w:rFonts w:ascii="Times New Roman" w:hAnsi="Times New Roman" w:cs="Times New Roman"/>
          <w:sz w:val="24"/>
          <w:szCs w:val="24"/>
        </w:rPr>
        <w:lastRenderedPageBreak/>
        <w:t>affordable. Therefore the Patentee has agreed to involve in Patient Assistance Program [PAP] and supply the drug at a lower cost for the truly needy. Patentee is intended to declare to meet the requirements of the public and hence the Controller should refuse to grant CL.</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ix) The treatment becomes ‘affordable’ through insurance cover. Therefore the ‘affordability’ shall be judged to the cost incurred to the insurance cover. In India the insurance is covered by;</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a) Voluntary health insurance schemes or private-for-profit schemes; </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 Employer based schemes; </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c) Insurance offered by NGOs or Community based health insurance; and d) Mandatory health insurance schemes or government run schemes, such as ESIS and CGHS etc., New India Assurance Company Limited offers lowest insurance cover [Rs.75000/- for the first policy and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xml:space="preserve"> 3 lakh for second policy] and ICICI offers a policy of 10 lakh.</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x) M/s </w:t>
      </w:r>
      <w:proofErr w:type="spellStart"/>
      <w:r w:rsidRPr="00912C1E">
        <w:rPr>
          <w:rFonts w:ascii="Times New Roman" w:hAnsi="Times New Roman" w:cs="Times New Roman"/>
          <w:sz w:val="24"/>
          <w:szCs w:val="24"/>
        </w:rPr>
        <w:t>Cipla’s</w:t>
      </w:r>
      <w:proofErr w:type="spellEnd"/>
      <w:r w:rsidRPr="00912C1E">
        <w:rPr>
          <w:rFonts w:ascii="Times New Roman" w:hAnsi="Times New Roman" w:cs="Times New Roman"/>
          <w:sz w:val="24"/>
          <w:szCs w:val="24"/>
        </w:rPr>
        <w:t xml:space="preserve"> sale of the drug of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xml:space="preserve">. 30,000/- is a proof for </w:t>
      </w:r>
      <w:proofErr w:type="gramStart"/>
      <w:r w:rsidRPr="00912C1E">
        <w:rPr>
          <w:rFonts w:ascii="Times New Roman" w:hAnsi="Times New Roman" w:cs="Times New Roman"/>
          <w:sz w:val="24"/>
          <w:szCs w:val="24"/>
        </w:rPr>
        <w:t>reasonable  affordable</w:t>
      </w:r>
      <w:proofErr w:type="gramEnd"/>
      <w:r w:rsidRPr="00912C1E">
        <w:rPr>
          <w:rFonts w:ascii="Times New Roman" w:hAnsi="Times New Roman" w:cs="Times New Roman"/>
          <w:sz w:val="24"/>
          <w:szCs w:val="24"/>
        </w:rPr>
        <w:t xml:space="preserve"> price , the fact of which has been deliberately suppressed by the applicant. </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xi) In the absence of any direction from the Delhi High Court M/s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is contributing in supply of the drug in question. Nowhere in the Patents Act it is mentioned that </w:t>
      </w:r>
      <w:proofErr w:type="gramStart"/>
      <w:r w:rsidRPr="00912C1E">
        <w:rPr>
          <w:rFonts w:ascii="Times New Roman" w:hAnsi="Times New Roman" w:cs="Times New Roman"/>
          <w:sz w:val="24"/>
          <w:szCs w:val="24"/>
        </w:rPr>
        <w:t>only  the</w:t>
      </w:r>
      <w:proofErr w:type="gramEnd"/>
      <w:r w:rsidRPr="00912C1E">
        <w:rPr>
          <w:rFonts w:ascii="Times New Roman" w:hAnsi="Times New Roman" w:cs="Times New Roman"/>
          <w:sz w:val="24"/>
          <w:szCs w:val="24"/>
        </w:rPr>
        <w:t xml:space="preserve"> Patentee is obliged to meet the requirements as provided in Section 84.</w:t>
      </w:r>
    </w:p>
    <w:p w:rsidR="00912C1E" w:rsidRDefault="00912C1E" w:rsidP="00912C1E">
      <w:pPr>
        <w:pStyle w:val="ListParagraph"/>
        <w:spacing w:after="0"/>
        <w:jc w:val="both"/>
        <w:rPr>
          <w:rFonts w:ascii="Times New Roman" w:hAnsi="Times New Roman" w:cs="Times New Roman"/>
          <w:b/>
          <w:sz w:val="24"/>
          <w:szCs w:val="24"/>
        </w:rPr>
      </w:pPr>
    </w:p>
    <w:p w:rsidR="00912C1E" w:rsidRPr="00912C1E" w:rsidRDefault="00912C1E" w:rsidP="00912C1E">
      <w:pPr>
        <w:pStyle w:val="ListParagraph"/>
        <w:spacing w:after="0"/>
        <w:jc w:val="both"/>
        <w:rPr>
          <w:rFonts w:ascii="Times New Roman" w:hAnsi="Times New Roman" w:cs="Times New Roman"/>
          <w:b/>
          <w:sz w:val="24"/>
          <w:szCs w:val="24"/>
        </w:rPr>
      </w:pPr>
      <w:r w:rsidRPr="00912C1E">
        <w:rPr>
          <w:rFonts w:ascii="Times New Roman" w:hAnsi="Times New Roman" w:cs="Times New Roman"/>
          <w:b/>
          <w:sz w:val="24"/>
          <w:szCs w:val="24"/>
        </w:rPr>
        <w:t>DECISION BY THE CONTROLLER</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 M/s </w:t>
      </w:r>
      <w:proofErr w:type="spellStart"/>
      <w:r w:rsidRPr="00912C1E">
        <w:rPr>
          <w:rFonts w:ascii="Times New Roman" w:hAnsi="Times New Roman" w:cs="Times New Roman"/>
          <w:sz w:val="24"/>
          <w:szCs w:val="24"/>
        </w:rPr>
        <w:t>Cipla’s</w:t>
      </w:r>
      <w:proofErr w:type="spellEnd"/>
      <w:r w:rsidRPr="00912C1E">
        <w:rPr>
          <w:rFonts w:ascii="Times New Roman" w:hAnsi="Times New Roman" w:cs="Times New Roman"/>
          <w:sz w:val="24"/>
          <w:szCs w:val="24"/>
        </w:rPr>
        <w:t xml:space="preserve"> contribution is not considered as it is not the license holder.</w:t>
      </w:r>
    </w:p>
    <w:p w:rsidR="00912C1E" w:rsidRPr="00912C1E" w:rsidRDefault="00912C1E" w:rsidP="00912C1E">
      <w:pPr>
        <w:pStyle w:val="ListParagraph"/>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b)Controller</w:t>
      </w:r>
      <w:proofErr w:type="gramEnd"/>
      <w:r w:rsidRPr="00912C1E">
        <w:rPr>
          <w:rFonts w:ascii="Times New Roman" w:hAnsi="Times New Roman" w:cs="Times New Roman"/>
          <w:sz w:val="24"/>
          <w:szCs w:val="24"/>
        </w:rPr>
        <w:t xml:space="preserve"> wonders why the Patentee has not opted on differential pricing to cater the needs of various economically divided sections.</w:t>
      </w:r>
    </w:p>
    <w:p w:rsidR="00912C1E" w:rsidRPr="00912C1E" w:rsidRDefault="00912C1E" w:rsidP="00912C1E">
      <w:pPr>
        <w:pStyle w:val="ListParagraph"/>
        <w:spacing w:after="0"/>
        <w:jc w:val="both"/>
        <w:rPr>
          <w:rFonts w:ascii="Times New Roman" w:hAnsi="Times New Roman" w:cs="Times New Roman"/>
          <w:sz w:val="24"/>
          <w:szCs w:val="24"/>
        </w:rPr>
      </w:pPr>
      <w:proofErr w:type="gramStart"/>
      <w:r w:rsidRPr="00912C1E">
        <w:rPr>
          <w:rFonts w:ascii="Times New Roman" w:hAnsi="Times New Roman" w:cs="Times New Roman"/>
          <w:sz w:val="24"/>
          <w:szCs w:val="24"/>
        </w:rPr>
        <w:t>c)Controller</w:t>
      </w:r>
      <w:proofErr w:type="gramEnd"/>
      <w:r w:rsidRPr="00912C1E">
        <w:rPr>
          <w:rFonts w:ascii="Times New Roman" w:hAnsi="Times New Roman" w:cs="Times New Roman"/>
          <w:sz w:val="24"/>
          <w:szCs w:val="24"/>
        </w:rPr>
        <w:t xml:space="preserve"> opines that the Patentee has failed either to  manufacture or import the required quantities of the drug in question.</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d) Controller </w:t>
      </w:r>
      <w:proofErr w:type="gramStart"/>
      <w:r w:rsidRPr="00912C1E">
        <w:rPr>
          <w:rFonts w:ascii="Times New Roman" w:hAnsi="Times New Roman" w:cs="Times New Roman"/>
          <w:sz w:val="24"/>
          <w:szCs w:val="24"/>
        </w:rPr>
        <w:t>do</w:t>
      </w:r>
      <w:proofErr w:type="gramEnd"/>
      <w:r w:rsidRPr="00912C1E">
        <w:rPr>
          <w:rFonts w:ascii="Times New Roman" w:hAnsi="Times New Roman" w:cs="Times New Roman"/>
          <w:sz w:val="24"/>
          <w:szCs w:val="24"/>
        </w:rPr>
        <w:t xml:space="preserve"> not agree that ‘reasonable price’ mean as ‘reasonable’ for both the Patentee and Public as well. ‘Reasonable price’ shall be construed only with respect to public.</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e) Patentee is continued to sell his patented product at the cost of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2, 80</w:t>
      </w:r>
      <w:proofErr w:type="gramStart"/>
      <w:r w:rsidRPr="00912C1E">
        <w:rPr>
          <w:rFonts w:ascii="Times New Roman" w:hAnsi="Times New Roman" w:cs="Times New Roman"/>
          <w:sz w:val="24"/>
          <w:szCs w:val="24"/>
        </w:rPr>
        <w:t>,00</w:t>
      </w:r>
      <w:proofErr w:type="gramEnd"/>
      <w:r w:rsidRPr="00912C1E">
        <w:rPr>
          <w:rFonts w:ascii="Times New Roman" w:hAnsi="Times New Roman" w:cs="Times New Roman"/>
          <w:sz w:val="24"/>
          <w:szCs w:val="24"/>
        </w:rPr>
        <w:t>/- for the last four years and no mention has been made to reduce the cost.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f) It stands to common logic that the public could not purchase the drug because of its high cost.</w:t>
      </w:r>
    </w:p>
    <w:p w:rsidR="00912C1E" w:rsidRPr="00912C1E" w:rsidRDefault="00912C1E" w:rsidP="00912C1E">
      <w:pPr>
        <w:pStyle w:val="ListParagraph"/>
        <w:spacing w:after="0"/>
        <w:jc w:val="both"/>
        <w:rPr>
          <w:rFonts w:ascii="Times New Roman" w:hAnsi="Times New Roman" w:cs="Times New Roman"/>
          <w:b/>
          <w:sz w:val="24"/>
          <w:szCs w:val="24"/>
        </w:rPr>
      </w:pP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THIRD GROUND U/S 84(c), PLEADINGS &amp; DECISION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b/>
          <w:sz w:val="24"/>
          <w:szCs w:val="24"/>
        </w:rPr>
        <w:t xml:space="preserve">                 </w:t>
      </w:r>
      <w:r w:rsidRPr="00912C1E">
        <w:rPr>
          <w:rFonts w:ascii="Times New Roman" w:hAnsi="Times New Roman" w:cs="Times New Roman"/>
          <w:sz w:val="24"/>
          <w:szCs w:val="24"/>
        </w:rPr>
        <w:t>c) That the patented invention is not worked in the territory of India.</w:t>
      </w:r>
    </w:p>
    <w:p w:rsid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 </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APPLICANT’S ARGUMENTS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Patentee has been working his patent invention in many countries other than India. Patentee despite admittedly having facilities in India to manufacture the drug in question has opted to a minimal importation of the drug. The quantum of imported drug does not match with the number of patients to be treated.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Patentee’s arguments on minimal working of the patent by way of importing the drug in question violates the general principal as laid in Section 83(a) which stipulates that the patents are granted to encourage inventions to be worked in India without any undue delay. As per </w:t>
      </w:r>
      <w:proofErr w:type="spellStart"/>
      <w:r w:rsidRPr="00912C1E">
        <w:rPr>
          <w:rFonts w:ascii="Times New Roman" w:hAnsi="Times New Roman" w:cs="Times New Roman"/>
          <w:sz w:val="24"/>
          <w:szCs w:val="24"/>
        </w:rPr>
        <w:t>Hyden’s</w:t>
      </w:r>
      <w:proofErr w:type="spellEnd"/>
      <w:r w:rsidRPr="00912C1E">
        <w:rPr>
          <w:rFonts w:ascii="Times New Roman" w:hAnsi="Times New Roman" w:cs="Times New Roman"/>
          <w:sz w:val="24"/>
          <w:szCs w:val="24"/>
        </w:rPr>
        <w:t xml:space="preserve"> Rule where two different interpretations are possible, the one that suppresses mischief and advances the cause of the Act should be taken. Therefore minimal working is no working at all.</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Arguments by Patentee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An attempt to impose on local manufacturing is beyond the scope of Patents Act as the phrase ‘manufactured in India’ was deleted from the Section 84 (7)(a)(ii) during the amendments made in 2002 thus negating the requirement of local manufacture in order to make it consistent with the Article 27(1) of the TRIPS Agreement.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 </w:t>
      </w:r>
      <w:proofErr w:type="spellStart"/>
      <w:r w:rsidRPr="00912C1E">
        <w:rPr>
          <w:rFonts w:ascii="Times New Roman" w:hAnsi="Times New Roman" w:cs="Times New Roman"/>
          <w:sz w:val="24"/>
          <w:szCs w:val="24"/>
        </w:rPr>
        <w:t>Nexavar</w:t>
      </w:r>
      <w:proofErr w:type="spellEnd"/>
      <w:r w:rsidRPr="00912C1E">
        <w:rPr>
          <w:rFonts w:ascii="Times New Roman" w:hAnsi="Times New Roman" w:cs="Times New Roman"/>
          <w:sz w:val="24"/>
          <w:szCs w:val="24"/>
        </w:rPr>
        <w:t xml:space="preserve"> has lower global demand and to avoid the higher cost of production at each country, the Patentee has </w:t>
      </w:r>
      <w:proofErr w:type="spellStart"/>
      <w:r w:rsidRPr="00912C1E">
        <w:rPr>
          <w:rFonts w:ascii="Times New Roman" w:hAnsi="Times New Roman" w:cs="Times New Roman"/>
          <w:sz w:val="24"/>
          <w:szCs w:val="24"/>
        </w:rPr>
        <w:t>stratigically</w:t>
      </w:r>
      <w:proofErr w:type="spellEnd"/>
      <w:r w:rsidRPr="00912C1E">
        <w:rPr>
          <w:rFonts w:ascii="Times New Roman" w:hAnsi="Times New Roman" w:cs="Times New Roman"/>
          <w:sz w:val="24"/>
          <w:szCs w:val="24"/>
        </w:rPr>
        <w:t xml:space="preserve"> decided to manufacture in Germany since lower quantities are required to be produced.</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DECISION OF THE CONTROLLER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‘Working in the territory of India’ is not defined in the act.</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It is not agreeable that the phrase ‘manufactured in India’ has been deleted. In fact ‘the concept’ has been deleted from one place and added in another section keeping the intent of the legislature </w:t>
      </w:r>
      <w:proofErr w:type="spellStart"/>
      <w:r w:rsidRPr="00912C1E">
        <w:rPr>
          <w:rFonts w:ascii="Times New Roman" w:hAnsi="Times New Roman" w:cs="Times New Roman"/>
          <w:sz w:val="24"/>
          <w:szCs w:val="24"/>
        </w:rPr>
        <w:t>in tact</w:t>
      </w:r>
      <w:proofErr w:type="spellEnd"/>
      <w:r w:rsidRPr="00912C1E">
        <w:rPr>
          <w:rFonts w:ascii="Times New Roman" w:hAnsi="Times New Roman" w:cs="Times New Roman"/>
          <w:sz w:val="24"/>
          <w:szCs w:val="24"/>
        </w:rPr>
        <w:t xml:space="preserve">. In reality </w:t>
      </w:r>
      <w:proofErr w:type="spellStart"/>
      <w:r w:rsidRPr="00912C1E">
        <w:rPr>
          <w:rFonts w:ascii="Times New Roman" w:hAnsi="Times New Roman" w:cs="Times New Roman"/>
          <w:sz w:val="24"/>
          <w:szCs w:val="24"/>
        </w:rPr>
        <w:t>the</w:t>
      </w:r>
      <w:proofErr w:type="spellEnd"/>
      <w:r w:rsidRPr="00912C1E">
        <w:rPr>
          <w:rFonts w:ascii="Times New Roman" w:hAnsi="Times New Roman" w:cs="Times New Roman"/>
          <w:sz w:val="24"/>
          <w:szCs w:val="24"/>
        </w:rPr>
        <w:t xml:space="preserve"> said phrase was deleted from Section 90(a) of the </w:t>
      </w:r>
      <w:proofErr w:type="spellStart"/>
      <w:r w:rsidRPr="00912C1E">
        <w:rPr>
          <w:rFonts w:ascii="Times New Roman" w:hAnsi="Times New Roman" w:cs="Times New Roman"/>
          <w:sz w:val="24"/>
          <w:szCs w:val="24"/>
        </w:rPr>
        <w:t>unamended</w:t>
      </w:r>
      <w:proofErr w:type="spellEnd"/>
      <w:r w:rsidRPr="00912C1E">
        <w:rPr>
          <w:rFonts w:ascii="Times New Roman" w:hAnsi="Times New Roman" w:cs="Times New Roman"/>
          <w:sz w:val="24"/>
          <w:szCs w:val="24"/>
        </w:rPr>
        <w:t xml:space="preserve"> Act 1970[erstwhile Act] and the Section 84(7) is the corresponding provision of the amended Act. The concept that is ‘reasonable requirements of public’ was made as a separate ground under the Section 84(1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c).</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Though the TRIPS agreement has marked a new era of obligations and enforcement of intellectual property rights, WTO members retained important options, flexibilities and safeguards, including the liberty to determine the grounds for issuing compulsory licenses.</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Article 2(1) of the TRIPS agreement states that the provisions of the Paris Convention shall be complied by the member countries. Under the suggestion of Article 5(4</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1) of the Paris Convention importation could entail something less than forfeiture, such as compulsory license. Paris Convention did not define the term ‘working’ but left the wisdom to the member countries.</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According to 27(1) of the TRIPS agreement importation shall not result in forfeiture of the patent but compulsory license, as a reasonable fetter to the abuse of patent rights, is also in the purview of Paris Convention and TRIPS agreement.</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Under the provisions of the Section the patents are not granted  merely enable the patentee to enjoy the monopoly for the importation of the patented article, therefore the Controller has concluded on this provision that importation cannot amount to working of patent.</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provisions of the Section 83(c) and (f) stipulates that patent rights shall contribute to the promotion of technological innovation and to the transfer and dissemination of technology and the patentee does not resort to practices which unreasonably restrain trade or adversely affect the International transfer of technology. Therefore the Controller has concluded that by not manufacturing locally nor giving any license to </w:t>
      </w:r>
      <w:r w:rsidRPr="00912C1E">
        <w:rPr>
          <w:rFonts w:ascii="Times New Roman" w:hAnsi="Times New Roman" w:cs="Times New Roman"/>
          <w:sz w:val="24"/>
          <w:szCs w:val="24"/>
        </w:rPr>
        <w:lastRenderedPageBreak/>
        <w:t>the competitors, is the patentee not fulfilling the requirements of the general principles as provided in the Section 83(c) and (f).</w:t>
      </w:r>
    </w:p>
    <w:p w:rsidR="00912C1E" w:rsidRPr="00912C1E" w:rsidRDefault="00912C1E" w:rsidP="00260553">
      <w:pPr>
        <w:pStyle w:val="ListParagraph"/>
        <w:numPr>
          <w:ilvl w:val="0"/>
          <w:numId w:val="11"/>
        </w:numPr>
        <w:spacing w:after="0"/>
        <w:jc w:val="both"/>
        <w:rPr>
          <w:rFonts w:ascii="Times New Roman" w:hAnsi="Times New Roman" w:cs="Times New Roman"/>
          <w:sz w:val="24"/>
          <w:szCs w:val="24"/>
        </w:rPr>
      </w:pPr>
      <w:r w:rsidRPr="00912C1E">
        <w:rPr>
          <w:rFonts w:ascii="Times New Roman" w:hAnsi="Times New Roman" w:cs="Times New Roman"/>
          <w:sz w:val="24"/>
          <w:szCs w:val="24"/>
        </w:rPr>
        <w:t>Under the provisions of the Section 84(6) before granting the CL, the Controller shall take in account of the ability and capacity of the applicant to work the invention. Under the provisions of the Section 90(2) CL shall not be granted to the applicant authorizing him to import the patented article or an article of the patented process, where such importation would, but for such authorization, constitute an infringement of the rights of the patentee. Under the provisions of the Section 90(3) the Central Government may direct the Controller to authorize any importation during any necessary conditions as government thinks so. Therefore the Controller has concluded that importation cannot be a part of CL.[This also proves that a mere importation does not amount to working of invention]</w:t>
      </w:r>
    </w:p>
    <w:p w:rsidR="00912C1E" w:rsidRDefault="00912C1E" w:rsidP="00912C1E">
      <w:pPr>
        <w:spacing w:after="0"/>
        <w:jc w:val="both"/>
        <w:rPr>
          <w:rFonts w:ascii="Times New Roman" w:hAnsi="Times New Roman" w:cs="Times New Roman"/>
          <w:b/>
          <w:sz w:val="24"/>
          <w:szCs w:val="24"/>
        </w:rPr>
      </w:pPr>
    </w:p>
    <w:p w:rsid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Hence it was decided to grant CL. CL has been granted with the following directions.</w:t>
      </w:r>
    </w:p>
    <w:p w:rsidR="00912C1E" w:rsidRPr="00912C1E" w:rsidRDefault="00912C1E" w:rsidP="00912C1E">
      <w:pPr>
        <w:spacing w:after="0"/>
        <w:jc w:val="both"/>
        <w:rPr>
          <w:rFonts w:ascii="Times New Roman" w:hAnsi="Times New Roman" w:cs="Times New Roman"/>
          <w:b/>
          <w:sz w:val="24"/>
          <w:szCs w:val="24"/>
        </w:rPr>
      </w:pP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FIXATION OF ROYALTY</w:t>
      </w:r>
    </w:p>
    <w:p w:rsidR="00912C1E" w:rsidRPr="00912C1E" w:rsidRDefault="00912C1E" w:rsidP="00260553">
      <w:pPr>
        <w:pStyle w:val="ListParagraph"/>
        <w:numPr>
          <w:ilvl w:val="0"/>
          <w:numId w:val="12"/>
        </w:numPr>
        <w:spacing w:after="0"/>
        <w:jc w:val="both"/>
        <w:rPr>
          <w:rFonts w:ascii="Times New Roman" w:hAnsi="Times New Roman" w:cs="Times New Roman"/>
          <w:sz w:val="24"/>
          <w:szCs w:val="24"/>
        </w:rPr>
      </w:pPr>
      <w:proofErr w:type="spellStart"/>
      <w:r w:rsidRPr="00912C1E">
        <w:rPr>
          <w:rFonts w:ascii="Times New Roman" w:hAnsi="Times New Roman" w:cs="Times New Roman"/>
          <w:sz w:val="24"/>
          <w:szCs w:val="24"/>
        </w:rPr>
        <w:t>Unamended</w:t>
      </w:r>
      <w:proofErr w:type="spellEnd"/>
      <w:r w:rsidRPr="00912C1E">
        <w:rPr>
          <w:rFonts w:ascii="Times New Roman" w:hAnsi="Times New Roman" w:cs="Times New Roman"/>
          <w:sz w:val="24"/>
          <w:szCs w:val="24"/>
        </w:rPr>
        <w:t xml:space="preserve"> Patents Act has provided a maximum of 4% royalty, the condition of which was deleted leaving the discretion to the Controller to decide case by case.</w:t>
      </w:r>
    </w:p>
    <w:p w:rsidR="00912C1E" w:rsidRPr="00912C1E" w:rsidRDefault="00912C1E" w:rsidP="00260553">
      <w:pPr>
        <w:pStyle w:val="ListParagraph"/>
        <w:numPr>
          <w:ilvl w:val="0"/>
          <w:numId w:val="12"/>
        </w:numPr>
        <w:spacing w:after="0"/>
        <w:jc w:val="both"/>
        <w:rPr>
          <w:rFonts w:ascii="Times New Roman" w:hAnsi="Times New Roman" w:cs="Times New Roman"/>
          <w:sz w:val="24"/>
          <w:szCs w:val="24"/>
        </w:rPr>
      </w:pPr>
      <w:r w:rsidRPr="00912C1E">
        <w:rPr>
          <w:rFonts w:ascii="Times New Roman" w:hAnsi="Times New Roman" w:cs="Times New Roman"/>
          <w:sz w:val="24"/>
          <w:szCs w:val="24"/>
        </w:rPr>
        <w:t>In the absence of actual data on the expenditure incurred by the Patentee towards R &amp; D, manufacturing and other related expenditure it is not possible to conclude.</w:t>
      </w:r>
    </w:p>
    <w:p w:rsidR="00912C1E" w:rsidRPr="00912C1E" w:rsidRDefault="00912C1E" w:rsidP="00260553">
      <w:pPr>
        <w:pStyle w:val="ListParagraph"/>
        <w:numPr>
          <w:ilvl w:val="0"/>
          <w:numId w:val="12"/>
        </w:numPr>
        <w:spacing w:after="0"/>
        <w:jc w:val="both"/>
        <w:rPr>
          <w:rFonts w:ascii="Times New Roman" w:hAnsi="Times New Roman" w:cs="Times New Roman"/>
          <w:sz w:val="24"/>
          <w:szCs w:val="24"/>
        </w:rPr>
      </w:pPr>
      <w:r w:rsidRPr="00912C1E">
        <w:rPr>
          <w:rFonts w:ascii="Times New Roman" w:hAnsi="Times New Roman" w:cs="Times New Roman"/>
          <w:sz w:val="24"/>
          <w:szCs w:val="24"/>
        </w:rPr>
        <w:t>The controller has obliged with the nature of the invention with respect to the possible number of consumers as provided by GLOBOCAN.</w:t>
      </w:r>
    </w:p>
    <w:p w:rsidR="00912C1E" w:rsidRDefault="00912C1E" w:rsidP="00260553">
      <w:pPr>
        <w:pStyle w:val="ListParagraph"/>
        <w:numPr>
          <w:ilvl w:val="0"/>
          <w:numId w:val="12"/>
        </w:numPr>
        <w:spacing w:after="0"/>
        <w:jc w:val="both"/>
        <w:rPr>
          <w:rFonts w:ascii="Times New Roman" w:hAnsi="Times New Roman" w:cs="Times New Roman"/>
          <w:sz w:val="24"/>
          <w:szCs w:val="24"/>
        </w:rPr>
      </w:pPr>
      <w:r w:rsidRPr="00912C1E">
        <w:rPr>
          <w:rFonts w:ascii="Times New Roman" w:hAnsi="Times New Roman" w:cs="Times New Roman"/>
          <w:sz w:val="24"/>
          <w:szCs w:val="24"/>
        </w:rPr>
        <w:t>According to UNDP norms the royalty varies from 2% to 6% of the net sales.</w:t>
      </w:r>
    </w:p>
    <w:p w:rsidR="00912C1E" w:rsidRPr="00912C1E" w:rsidRDefault="00912C1E" w:rsidP="00912C1E">
      <w:pPr>
        <w:pStyle w:val="ListParagraph"/>
        <w:spacing w:after="0"/>
        <w:ind w:left="1080"/>
        <w:jc w:val="both"/>
        <w:rPr>
          <w:rFonts w:ascii="Times New Roman" w:hAnsi="Times New Roman" w:cs="Times New Roman"/>
          <w:sz w:val="24"/>
          <w:szCs w:val="24"/>
        </w:rPr>
      </w:pPr>
    </w:p>
    <w:p w:rsidR="00912C1E" w:rsidRPr="00912C1E" w:rsidRDefault="00912C1E" w:rsidP="00260553">
      <w:pPr>
        <w:pStyle w:val="ListParagraph"/>
        <w:numPr>
          <w:ilvl w:val="0"/>
          <w:numId w:val="3"/>
        </w:numPr>
        <w:spacing w:after="0"/>
        <w:jc w:val="both"/>
        <w:rPr>
          <w:rFonts w:ascii="Times New Roman" w:hAnsi="Times New Roman" w:cs="Times New Roman"/>
          <w:b/>
          <w:sz w:val="24"/>
          <w:szCs w:val="24"/>
        </w:rPr>
      </w:pPr>
      <w:r w:rsidRPr="00912C1E">
        <w:rPr>
          <w:rFonts w:ascii="Times New Roman" w:hAnsi="Times New Roman" w:cs="Times New Roman"/>
          <w:b/>
          <w:sz w:val="24"/>
          <w:szCs w:val="24"/>
        </w:rPr>
        <w:t>TERMS AND CONDITIONS OF CL</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 </w:t>
      </w:r>
      <w:r w:rsidRPr="00912C1E">
        <w:rPr>
          <w:rFonts w:ascii="Times New Roman" w:hAnsi="Times New Roman" w:cs="Times New Roman"/>
          <w:sz w:val="24"/>
          <w:szCs w:val="24"/>
        </w:rPr>
        <w:tab/>
      </w:r>
      <w:r w:rsidRPr="00912C1E">
        <w:rPr>
          <w:rFonts w:ascii="Times New Roman" w:hAnsi="Times New Roman" w:cs="Times New Roman"/>
          <w:sz w:val="24"/>
          <w:szCs w:val="24"/>
        </w:rPr>
        <w:tab/>
        <w:t>The price of the drug covered by the Patent, sold by the Licensee shall not exceed Rs.8880 for a pack of 120 tablets, required for one month's treatment.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b.</w:t>
      </w:r>
      <w:r w:rsidRPr="00912C1E">
        <w:rPr>
          <w:rFonts w:ascii="Times New Roman" w:hAnsi="Times New Roman" w:cs="Times New Roman"/>
          <w:sz w:val="24"/>
          <w:szCs w:val="24"/>
        </w:rPr>
        <w:tab/>
        <w:t>The licensee shall maintain accounts of sale etc. in a proper manner and shall report the details of sales to the Controller as well as the Licensor on a quarterly basis, on or before fifteenth day of the succeeding month.</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c.   The licensee shall have the right to manufacture the drug covered by the Patent only at his own manufacturing facility and shall not in any whatsoever outsource the production.</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The license is non-exclusive.</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e. The license is non-assignable.</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f. The licensee shall pay royalty at the rate of 6% of the net sales of the drug on a quarterly basis and such payment shall be affected on or before fifteenth day of the succeeding month.</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g.   The  license  is granted  solely  for  the  purpose  of  making,  using, offering to sell and selling the drug covered  by the patent for the purpose of treating HCC and RCC in humans within the Territory of India.</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h.   The licensee shall supply the drug covered by the Patent to at least 600 needy and deserving patients per year free of cost. The licensee shall annually submit in the form of an affidavit the details of such patients, i.e. name, address and the name of the </w:t>
      </w:r>
      <w:r w:rsidRPr="00912C1E">
        <w:rPr>
          <w:rFonts w:ascii="Times New Roman" w:hAnsi="Times New Roman" w:cs="Times New Roman"/>
          <w:sz w:val="24"/>
          <w:szCs w:val="24"/>
        </w:rPr>
        <w:lastRenderedPageBreak/>
        <w:t>treating oncologist, to the Office of the Controller of Patents and such report shall be submitted on or before 31st January of the year, in respect of the preceding year.</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i.</w:t>
      </w:r>
      <w:r w:rsidRPr="00912C1E">
        <w:rPr>
          <w:rFonts w:ascii="Times New Roman" w:hAnsi="Times New Roman" w:cs="Times New Roman"/>
          <w:sz w:val="24"/>
          <w:szCs w:val="24"/>
        </w:rPr>
        <w:tab/>
        <w:t>The licensee shall not have the right to import the drug covered by the Patent.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J·</w:t>
      </w:r>
      <w:r w:rsidRPr="00912C1E">
        <w:rPr>
          <w:rFonts w:ascii="Times New Roman" w:hAnsi="Times New Roman" w:cs="Times New Roman"/>
          <w:sz w:val="24"/>
          <w:szCs w:val="24"/>
        </w:rPr>
        <w:tab/>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license is for the balance term of the patent.</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k.   The  license  does  not  include  any  right  to  represent  publicly  or privately that the Licensee's product is the same as the Licensor's or that the Licensor is in any way associated with the Licensee's product. The Licensee's product must be visibly distinct from the </w:t>
      </w:r>
      <w:proofErr w:type="gramStart"/>
      <w:r w:rsidRPr="00912C1E">
        <w:rPr>
          <w:rFonts w:ascii="Times New Roman" w:hAnsi="Times New Roman" w:cs="Times New Roman"/>
          <w:sz w:val="24"/>
          <w:szCs w:val="24"/>
        </w:rPr>
        <w:t>Licensor's  product</w:t>
      </w:r>
      <w:proofErr w:type="gramEnd"/>
      <w:r w:rsidRPr="00912C1E">
        <w:rPr>
          <w:rFonts w:ascii="Times New Roman" w:hAnsi="Times New Roman" w:cs="Times New Roman"/>
          <w:sz w:val="24"/>
          <w:szCs w:val="24"/>
        </w:rPr>
        <w:t xml:space="preserve">  (e.g.  </w:t>
      </w:r>
      <w:proofErr w:type="gramStart"/>
      <w:r w:rsidRPr="00912C1E">
        <w:rPr>
          <w:rFonts w:ascii="Times New Roman" w:hAnsi="Times New Roman" w:cs="Times New Roman"/>
          <w:sz w:val="24"/>
          <w:szCs w:val="24"/>
        </w:rPr>
        <w:t>in</w:t>
      </w:r>
      <w:proofErr w:type="gramEnd"/>
      <w:r w:rsidRPr="00912C1E">
        <w:rPr>
          <w:rFonts w:ascii="Times New Roman" w:hAnsi="Times New Roman" w:cs="Times New Roman"/>
          <w:sz w:val="24"/>
          <w:szCs w:val="24"/>
        </w:rPr>
        <w:t xml:space="preserve"> color  and I or shape); the trade  name must be distinct, and the packaging must be distinct. The Licensor will provide no legal, regulatory, medical, technical, manufacturing, sales, marketing, or any other support of any kind to the Licensee.</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l. </w:t>
      </w:r>
      <w:r w:rsidRPr="00912C1E">
        <w:rPr>
          <w:rFonts w:ascii="Times New Roman" w:hAnsi="Times New Roman" w:cs="Times New Roman"/>
          <w:sz w:val="24"/>
          <w:szCs w:val="24"/>
        </w:rPr>
        <w:tab/>
        <w:t>The Licensee is solely and exclusively responsible for its product and for all associated product liability. The Licensor, its Directors, Officers, Employees, Agents, and affiliates shall not be held liable in any manner whatsoever for any action of the licensee.</w:t>
      </w:r>
    </w:p>
    <w:p w:rsidR="00912C1E" w:rsidRPr="00912C1E" w:rsidRDefault="00912C1E" w:rsidP="00912C1E">
      <w:pPr>
        <w:pStyle w:val="ListParagraph"/>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m. </w:t>
      </w:r>
      <w:proofErr w:type="gramStart"/>
      <w:r w:rsidRPr="00912C1E">
        <w:rPr>
          <w:rFonts w:ascii="Times New Roman" w:hAnsi="Times New Roman" w:cs="Times New Roman"/>
          <w:sz w:val="24"/>
          <w:szCs w:val="24"/>
        </w:rPr>
        <w:t>The  Licensor</w:t>
      </w:r>
      <w:proofErr w:type="gramEnd"/>
      <w:r w:rsidRPr="00912C1E">
        <w:rPr>
          <w:rFonts w:ascii="Times New Roman" w:hAnsi="Times New Roman" w:cs="Times New Roman"/>
          <w:sz w:val="24"/>
          <w:szCs w:val="24"/>
        </w:rPr>
        <w:t xml:space="preserve"> is free to do whatever it wishes with its residual patent rights subject to the non-exclusive license to the Licensee, and is free to compete with the Licensee and to grant licenses to third parties to compete with the Licensee.</w:t>
      </w:r>
    </w:p>
    <w:p w:rsidR="00912C1E" w:rsidRPr="00912C1E" w:rsidRDefault="00912C1E" w:rsidP="00912C1E">
      <w:pPr>
        <w:pStyle w:val="ListParagraph"/>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IPAB DISMISSES BAYER’S APPEAL AGAINST COMPULSORY LICENSE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Intellectual Property Appellate Board (IPAB) has rejected a petition of Bayer Corp., seeking a stay on an order of the Controller, granting compulsory </w:t>
      </w:r>
      <w:proofErr w:type="spellStart"/>
      <w:r w:rsidRPr="00912C1E">
        <w:rPr>
          <w:rFonts w:ascii="Times New Roman" w:hAnsi="Times New Roman" w:cs="Times New Roman"/>
          <w:sz w:val="24"/>
          <w:szCs w:val="24"/>
        </w:rPr>
        <w:t>licence</w:t>
      </w:r>
      <w:proofErr w:type="spellEnd"/>
      <w:r w:rsidRPr="00912C1E">
        <w:rPr>
          <w:rFonts w:ascii="Times New Roman" w:hAnsi="Times New Roman" w:cs="Times New Roman"/>
          <w:sz w:val="24"/>
          <w:szCs w:val="24"/>
        </w:rPr>
        <w:t xml:space="preserve"> to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Pharma</w:t>
      </w:r>
      <w:proofErr w:type="spellEnd"/>
      <w:r w:rsidRPr="00912C1E">
        <w:rPr>
          <w:rFonts w:ascii="Times New Roman" w:hAnsi="Times New Roman" w:cs="Times New Roman"/>
          <w:sz w:val="24"/>
          <w:szCs w:val="24"/>
        </w:rPr>
        <w:t xml:space="preserve"> Ltd., for </w:t>
      </w:r>
      <w:proofErr w:type="spellStart"/>
      <w:r w:rsidRPr="00912C1E">
        <w:rPr>
          <w:rFonts w:ascii="Times New Roman" w:hAnsi="Times New Roman" w:cs="Times New Roman"/>
          <w:sz w:val="24"/>
          <w:szCs w:val="24"/>
        </w:rPr>
        <w:t>Nexavar</w:t>
      </w:r>
      <w:proofErr w:type="spellEnd"/>
      <w:r w:rsidRPr="00912C1E">
        <w:rPr>
          <w:rFonts w:ascii="Times New Roman" w:hAnsi="Times New Roman" w:cs="Times New Roman"/>
          <w:sz w:val="24"/>
          <w:szCs w:val="24"/>
        </w:rPr>
        <w:t>, a drug (</w:t>
      </w:r>
      <w:proofErr w:type="spellStart"/>
      <w:r w:rsidRPr="00912C1E">
        <w:rPr>
          <w:rFonts w:ascii="Times New Roman" w:hAnsi="Times New Roman" w:cs="Times New Roman"/>
          <w:sz w:val="24"/>
          <w:szCs w:val="24"/>
        </w:rPr>
        <w:t>Sorafenib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Tosylate</w:t>
      </w:r>
      <w:proofErr w:type="spellEnd"/>
      <w:r w:rsidRPr="00912C1E">
        <w:rPr>
          <w:rFonts w:ascii="Times New Roman" w:hAnsi="Times New Roman" w:cs="Times New Roman"/>
          <w:sz w:val="24"/>
          <w:szCs w:val="24"/>
        </w:rPr>
        <w:t xml:space="preserve">) to treat renal cell and </w:t>
      </w:r>
      <w:proofErr w:type="spellStart"/>
      <w:r w:rsidRPr="00912C1E">
        <w:rPr>
          <w:rFonts w:ascii="Times New Roman" w:hAnsi="Times New Roman" w:cs="Times New Roman"/>
          <w:sz w:val="24"/>
          <w:szCs w:val="24"/>
        </w:rPr>
        <w:t>hepato</w:t>
      </w:r>
      <w:proofErr w:type="spellEnd"/>
      <w:r w:rsidRPr="00912C1E">
        <w:rPr>
          <w:rFonts w:ascii="Times New Roman" w:hAnsi="Times New Roman" w:cs="Times New Roman"/>
          <w:sz w:val="24"/>
          <w:szCs w:val="24"/>
        </w:rPr>
        <w:t xml:space="preserve">-cellular carcinoma (cancer).  The judgment is penned by none other than Justice </w:t>
      </w:r>
      <w:proofErr w:type="spellStart"/>
      <w:r w:rsidRPr="00912C1E">
        <w:rPr>
          <w:rFonts w:ascii="Times New Roman" w:hAnsi="Times New Roman" w:cs="Times New Roman"/>
          <w:sz w:val="24"/>
          <w:szCs w:val="24"/>
        </w:rPr>
        <w:t>Prabha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Sridevan</w:t>
      </w:r>
      <w:proofErr w:type="spellEnd"/>
      <w:r w:rsidRPr="00912C1E">
        <w:rPr>
          <w:rFonts w:ascii="Times New Roman" w:hAnsi="Times New Roman" w:cs="Times New Roman"/>
          <w:sz w:val="24"/>
          <w:szCs w:val="24"/>
        </w:rPr>
        <w:t xml:space="preserve">, with technical member: DPS </w:t>
      </w:r>
      <w:proofErr w:type="spellStart"/>
      <w:r w:rsidRPr="00912C1E">
        <w:rPr>
          <w:rFonts w:ascii="Times New Roman" w:hAnsi="Times New Roman" w:cs="Times New Roman"/>
          <w:sz w:val="24"/>
          <w:szCs w:val="24"/>
        </w:rPr>
        <w:t>Parmar</w:t>
      </w:r>
      <w:proofErr w:type="spellEnd"/>
      <w:r w:rsidRPr="00912C1E">
        <w:rPr>
          <w:rFonts w:ascii="Times New Roman" w:hAnsi="Times New Roman" w:cs="Times New Roman"/>
          <w:sz w:val="24"/>
          <w:szCs w:val="24"/>
        </w:rPr>
        <w:t xml:space="preserve">.  This case is another important one that can be added to the list of several important cases including Yahoo vs. Controller &amp; </w:t>
      </w:r>
      <w:proofErr w:type="spellStart"/>
      <w:r w:rsidRPr="00912C1E">
        <w:rPr>
          <w:rFonts w:ascii="Times New Roman" w:hAnsi="Times New Roman" w:cs="Times New Roman"/>
          <w:sz w:val="24"/>
          <w:szCs w:val="24"/>
        </w:rPr>
        <w:t>Rediff</w:t>
      </w:r>
      <w:proofErr w:type="spellEnd"/>
      <w:r w:rsidRPr="00912C1E">
        <w:rPr>
          <w:rFonts w:ascii="Times New Roman" w:hAnsi="Times New Roman" w:cs="Times New Roman"/>
          <w:sz w:val="24"/>
          <w:szCs w:val="24"/>
        </w:rPr>
        <w:t xml:space="preserve">, Tata vs. Unilever and Financial Times vs. Times Publishing House decided by the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Justice.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Facts leading to the case before IPAB:  </w:t>
      </w:r>
      <w:proofErr w:type="spellStart"/>
      <w:r w:rsidRPr="00912C1E">
        <w:rPr>
          <w:rFonts w:ascii="Times New Roman" w:hAnsi="Times New Roman" w:cs="Times New Roman"/>
          <w:sz w:val="24"/>
          <w:szCs w:val="24"/>
        </w:rPr>
        <w:t>Sorafenib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Tosylate</w:t>
      </w:r>
      <w:proofErr w:type="spellEnd"/>
      <w:r w:rsidRPr="00912C1E">
        <w:rPr>
          <w:rFonts w:ascii="Times New Roman" w:hAnsi="Times New Roman" w:cs="Times New Roman"/>
          <w:sz w:val="24"/>
          <w:szCs w:val="24"/>
        </w:rPr>
        <w:t xml:space="preserve"> is the patented drug at issue and is sold under the trade name of </w:t>
      </w:r>
      <w:proofErr w:type="spellStart"/>
      <w:r w:rsidRPr="00912C1E">
        <w:rPr>
          <w:rFonts w:ascii="Times New Roman" w:hAnsi="Times New Roman" w:cs="Times New Roman"/>
          <w:sz w:val="24"/>
          <w:szCs w:val="24"/>
        </w:rPr>
        <w:t>Nexavar</w:t>
      </w:r>
      <w:proofErr w:type="spellEnd"/>
      <w:r w:rsidRPr="00912C1E">
        <w:rPr>
          <w:rFonts w:ascii="Times New Roman" w:hAnsi="Times New Roman" w:cs="Times New Roman"/>
          <w:sz w:val="24"/>
          <w:szCs w:val="24"/>
        </w:rPr>
        <w:t xml:space="preserve">.  Bayer got a patent in India on </w:t>
      </w:r>
      <w:proofErr w:type="spellStart"/>
      <w:r w:rsidRPr="00912C1E">
        <w:rPr>
          <w:rFonts w:ascii="Times New Roman" w:hAnsi="Times New Roman" w:cs="Times New Roman"/>
          <w:sz w:val="24"/>
          <w:szCs w:val="24"/>
        </w:rPr>
        <w:t>Nexavar</w:t>
      </w:r>
      <w:proofErr w:type="spellEnd"/>
      <w:r w:rsidRPr="00912C1E">
        <w:rPr>
          <w:rFonts w:ascii="Times New Roman" w:hAnsi="Times New Roman" w:cs="Times New Roman"/>
          <w:sz w:val="24"/>
          <w:szCs w:val="24"/>
        </w:rPr>
        <w:t xml:space="preserve"> in 2008.  At the time when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filed the compulsory license application, Bayer was selling the drug at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xml:space="preserve"> 2</w:t>
      </w:r>
      <w:proofErr w:type="gramStart"/>
      <w:r w:rsidRPr="00912C1E">
        <w:rPr>
          <w:rFonts w:ascii="Times New Roman" w:hAnsi="Times New Roman" w:cs="Times New Roman"/>
          <w:sz w:val="24"/>
          <w:szCs w:val="24"/>
        </w:rPr>
        <w:t>,80,000</w:t>
      </w:r>
      <w:proofErr w:type="gramEnd"/>
      <w:r w:rsidRPr="00912C1E">
        <w:rPr>
          <w:rFonts w:ascii="Times New Roman" w:hAnsi="Times New Roman" w:cs="Times New Roman"/>
          <w:sz w:val="24"/>
          <w:szCs w:val="24"/>
        </w:rPr>
        <w:t xml:space="preserve">/- per month. However, CIPLA who was not a party to the compulsory license application sold Bayer’s patented drug in the Indian market as </w:t>
      </w:r>
      <w:proofErr w:type="spellStart"/>
      <w:r w:rsidRPr="00912C1E">
        <w:rPr>
          <w:rFonts w:ascii="Times New Roman" w:hAnsi="Times New Roman" w:cs="Times New Roman"/>
          <w:sz w:val="24"/>
          <w:szCs w:val="24"/>
        </w:rPr>
        <w:t>Soranib</w:t>
      </w:r>
      <w:proofErr w:type="spellEnd"/>
      <w:r w:rsidRPr="00912C1E">
        <w:rPr>
          <w:rFonts w:ascii="Times New Roman" w:hAnsi="Times New Roman" w:cs="Times New Roman"/>
          <w:sz w:val="24"/>
          <w:szCs w:val="24"/>
        </w:rPr>
        <w:t xml:space="preserve"> at </w:t>
      </w:r>
      <w:proofErr w:type="spellStart"/>
      <w:r w:rsidRPr="00912C1E">
        <w:rPr>
          <w:rFonts w:ascii="Times New Roman" w:hAnsi="Times New Roman" w:cs="Times New Roman"/>
          <w:sz w:val="24"/>
          <w:szCs w:val="24"/>
        </w:rPr>
        <w:t>Rs</w:t>
      </w:r>
      <w:proofErr w:type="spellEnd"/>
      <w:r w:rsidRPr="00912C1E">
        <w:rPr>
          <w:rFonts w:ascii="Times New Roman" w:hAnsi="Times New Roman" w:cs="Times New Roman"/>
          <w:sz w:val="24"/>
          <w:szCs w:val="24"/>
        </w:rPr>
        <w:t xml:space="preserve">. 30000/- per month; and presently at Rs.5400/- per month. </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Bayer’s suit against CIPLA is pending before the Delhi High Court and no injunction has been granted and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continues to sell the patented product.  And in the suit before the IPAB,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has sought for revocation of the patent.   Understandably,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also is seeking revocation of the patent covering the drug.</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the CL order issued by the then Controller General of Patent, a price of Rs.8800/- was fixed at which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 xml:space="preserve"> was supposed to sell the patented drug, and in turn pay a standard royalty rate of six percent calculated the net price /manufacture.</w:t>
      </w:r>
    </w:p>
    <w:p w:rsid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Bayer appealed against the Controller’s order before the IPAB and pointed that because the drug was available at a much lower price (reasonable price) than the one directed by the </w:t>
      </w:r>
      <w:r w:rsidRPr="00912C1E">
        <w:rPr>
          <w:rFonts w:ascii="Times New Roman" w:hAnsi="Times New Roman" w:cs="Times New Roman"/>
          <w:sz w:val="24"/>
          <w:szCs w:val="24"/>
        </w:rPr>
        <w:lastRenderedPageBreak/>
        <w:t xml:space="preserve">Controller (sale by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 5400 / month), the compulsory license was rendered unnecessary.</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DECISION: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Rejecting the contention of Bayer, the IPAB held that if Bayer was granted a stay, it will jeopardize the interests of the public who are in need of the drug; and that Bayer had not adequately met its burden of proving its case.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Bayer essentially argued that if the drug is made available in the market at reasonably affordable price and not necessarily by the patentee, then </w:t>
      </w:r>
      <w:proofErr w:type="gramStart"/>
      <w:r w:rsidRPr="00912C1E">
        <w:rPr>
          <w:rFonts w:ascii="Times New Roman" w:hAnsi="Times New Roman" w:cs="Times New Roman"/>
          <w:sz w:val="24"/>
          <w:szCs w:val="24"/>
        </w:rPr>
        <w:t>S.84(</w:t>
      </w:r>
      <w:proofErr w:type="gramEnd"/>
      <w:r w:rsidRPr="00912C1E">
        <w:rPr>
          <w:rFonts w:ascii="Times New Roman" w:hAnsi="Times New Roman" w:cs="Times New Roman"/>
          <w:sz w:val="24"/>
          <w:szCs w:val="24"/>
        </w:rPr>
        <w:t xml:space="preserve">1)(b ) of the Patents Act will not arise. And if public requirement is met even by someone other than the patentee, even then </w:t>
      </w:r>
      <w:proofErr w:type="gramStart"/>
      <w:r w:rsidRPr="00912C1E">
        <w:rPr>
          <w:rFonts w:ascii="Times New Roman" w:hAnsi="Times New Roman" w:cs="Times New Roman"/>
          <w:sz w:val="24"/>
          <w:szCs w:val="24"/>
        </w:rPr>
        <w:t>S.84(</w:t>
      </w:r>
      <w:proofErr w:type="gramEnd"/>
      <w:r w:rsidRPr="00912C1E">
        <w:rPr>
          <w:rFonts w:ascii="Times New Roman" w:hAnsi="Times New Roman" w:cs="Times New Roman"/>
          <w:sz w:val="24"/>
          <w:szCs w:val="24"/>
        </w:rPr>
        <w:t xml:space="preserve">1)(a) will not arise.  Additionally, because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did not have the burden of conducting research and development,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could choose to sell the drug at any price.  Therefore, section 84(1) (c) could not arise either.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Rejecting Bayer’s contentions, the IPAB held that Bayer had not made out a prima facie case for the grant of stay, since even its own admission is that it is CIPLA which is supplying the drug to satisfy the needs of the public.  It is not the case of the appellant that its supply is at a reasonably affordable price and satisfies the reasonable requirement of the public. </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particular, the IPAB pointed out: “Therefore, when we look at section 84 of the Act, having regard to section 83, as we are directed by that section, it is clear that it is the duty of patentee to show that the patentee by its own supply has satisfied the reasonable requirement of the public and by its supply, the drug is made available at a reasonably affordable price. The appellant cannot ride piggyback on CIPLA‟s sale, particularly when the appellant is fighting CIPLA before another forum regarding the same invention and the same drug.</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“Therefore, the right of access to affordable medicine is as much a matter of right to dignity of the patients and to grant stay at this juncture would really affect them and further, it would in effect amount to deciding the main petition itself. Though this is not a reason why we are not granting stay, yet this is an additional factor.”</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SUIT AGAINST GRANTING MARKERTING RIGHTS BEFORE HONOURABLE DELHI HIGH COURT BY BAYER FOR "SORAFENIB TOSYLATE"</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SOURCE: Entire judgment can be found in: </w:t>
      </w:r>
    </w:p>
    <w:p w:rsidR="00912C1E" w:rsidRPr="00912C1E" w:rsidRDefault="00912C1E" w:rsidP="00912C1E">
      <w:pPr>
        <w:spacing w:after="0"/>
        <w:jc w:val="both"/>
        <w:rPr>
          <w:rFonts w:ascii="Times New Roman" w:hAnsi="Times New Roman" w:cs="Times New Roman"/>
          <w:b/>
          <w:sz w:val="24"/>
          <w:szCs w:val="24"/>
        </w:rPr>
      </w:pPr>
      <w:hyperlink r:id="rId68" w:history="1">
        <w:r w:rsidRPr="00912C1E">
          <w:rPr>
            <w:rStyle w:val="Hyperlink"/>
            <w:rFonts w:ascii="Times New Roman" w:hAnsi="Times New Roman" w:cs="Times New Roman"/>
            <w:b/>
            <w:sz w:val="24"/>
            <w:szCs w:val="24"/>
          </w:rPr>
          <w:t>http://www.invntree.com/wp-content/uploads/2015/02/Bayer-Vs-Cipla-Judgement-InvnTree.pdf</w:t>
        </w:r>
      </w:hyperlink>
    </w:p>
    <w:p w:rsidR="00912C1E" w:rsidRPr="00912C1E" w:rsidRDefault="00912C1E" w:rsidP="00912C1E">
      <w:pPr>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HIGH COURT OF DELHI AT </w:t>
      </w:r>
      <w:proofErr w:type="gramStart"/>
      <w:r w:rsidRPr="00912C1E">
        <w:rPr>
          <w:rFonts w:ascii="Times New Roman" w:hAnsi="Times New Roman" w:cs="Times New Roman"/>
          <w:sz w:val="24"/>
          <w:szCs w:val="24"/>
        </w:rPr>
        <w:t>NEW DELHI</w:t>
      </w:r>
      <w:proofErr w:type="gramEnd"/>
    </w:p>
    <w:p w:rsidR="00912C1E" w:rsidRPr="00912C1E" w:rsidRDefault="00912C1E" w:rsidP="00912C1E">
      <w:pPr>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 Judgment reserved on: 1st December, 2009</w:t>
      </w:r>
    </w:p>
    <w:p w:rsidR="00912C1E" w:rsidRPr="00912C1E" w:rsidRDefault="00912C1E" w:rsidP="00912C1E">
      <w:pPr>
        <w:spacing w:after="0" w:line="240" w:lineRule="auto"/>
        <w:jc w:val="both"/>
        <w:rPr>
          <w:rFonts w:ascii="Times New Roman" w:hAnsi="Times New Roman" w:cs="Times New Roman"/>
          <w:sz w:val="24"/>
          <w:szCs w:val="24"/>
        </w:rPr>
      </w:pPr>
      <w:r w:rsidRPr="00912C1E">
        <w:rPr>
          <w:rFonts w:ascii="Times New Roman" w:hAnsi="Times New Roman" w:cs="Times New Roman"/>
          <w:sz w:val="24"/>
          <w:szCs w:val="24"/>
        </w:rPr>
        <w:t xml:space="preserve"> Judgment pronounced on: February 9, 2010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LPA 443/2009</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BAYER CORPORATION &amp; </w:t>
      </w:r>
      <w:proofErr w:type="gramStart"/>
      <w:r w:rsidRPr="00912C1E">
        <w:rPr>
          <w:rFonts w:ascii="Times New Roman" w:hAnsi="Times New Roman" w:cs="Times New Roman"/>
          <w:sz w:val="24"/>
          <w:szCs w:val="24"/>
        </w:rPr>
        <w:t>ANR .....</w:t>
      </w:r>
      <w:proofErr w:type="gramEnd"/>
      <w:r w:rsidRPr="00912C1E">
        <w:rPr>
          <w:rFonts w:ascii="Times New Roman" w:hAnsi="Times New Roman" w:cs="Times New Roman"/>
          <w:sz w:val="24"/>
          <w:szCs w:val="24"/>
        </w:rPr>
        <w:t xml:space="preserve"> Appellants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Through Mr. Shanti </w:t>
      </w:r>
      <w:proofErr w:type="spellStart"/>
      <w:r w:rsidRPr="00912C1E">
        <w:rPr>
          <w:rFonts w:ascii="Times New Roman" w:hAnsi="Times New Roman" w:cs="Times New Roman"/>
          <w:sz w:val="24"/>
          <w:szCs w:val="24"/>
        </w:rPr>
        <w:t>Bhushan</w:t>
      </w:r>
      <w:proofErr w:type="spellEnd"/>
      <w:r w:rsidRPr="00912C1E">
        <w:rPr>
          <w:rFonts w:ascii="Times New Roman" w:hAnsi="Times New Roman" w:cs="Times New Roman"/>
          <w:sz w:val="24"/>
          <w:szCs w:val="24"/>
        </w:rPr>
        <w:t>, Senior Advocate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with</w:t>
      </w:r>
      <w:proofErr w:type="gramEnd"/>
      <w:r w:rsidRPr="00912C1E">
        <w:rPr>
          <w:rFonts w:ascii="Times New Roman" w:hAnsi="Times New Roman" w:cs="Times New Roman"/>
          <w:sz w:val="24"/>
          <w:szCs w:val="24"/>
        </w:rPr>
        <w:t xml:space="preserve"> Mr. Sanjay Kumar, Ms. </w:t>
      </w:r>
      <w:proofErr w:type="spellStart"/>
      <w:r w:rsidRPr="00912C1E">
        <w:rPr>
          <w:rFonts w:ascii="Times New Roman" w:hAnsi="Times New Roman" w:cs="Times New Roman"/>
          <w:sz w:val="24"/>
          <w:szCs w:val="24"/>
        </w:rPr>
        <w:t>Arpita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Sawhney</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Vineet</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Rohilla</w:t>
      </w:r>
      <w:proofErr w:type="spellEnd"/>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Peeyoosh</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Kalra</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Puneet</w:t>
      </w:r>
      <w:proofErr w:type="spellEnd"/>
      <w:r w:rsidRPr="00912C1E">
        <w:rPr>
          <w:rFonts w:ascii="Times New Roman" w:hAnsi="Times New Roman" w:cs="Times New Roman"/>
          <w:sz w:val="24"/>
          <w:szCs w:val="24"/>
        </w:rPr>
        <w:t xml:space="preserve"> </w:t>
      </w:r>
      <w:proofErr w:type="spellStart"/>
      <w:proofErr w:type="gramStart"/>
      <w:r w:rsidRPr="00912C1E">
        <w:rPr>
          <w:rFonts w:ascii="Times New Roman" w:hAnsi="Times New Roman" w:cs="Times New Roman"/>
          <w:sz w:val="24"/>
          <w:szCs w:val="24"/>
        </w:rPr>
        <w:t>Kalra</w:t>
      </w:r>
      <w:proofErr w:type="spellEnd"/>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 xml:space="preserve"> Advocates.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versus</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 xml:space="preserve"> UNION OF INDIA &amp; </w:t>
      </w:r>
      <w:proofErr w:type="gramStart"/>
      <w:r w:rsidRPr="00912C1E">
        <w:rPr>
          <w:rFonts w:ascii="Times New Roman" w:hAnsi="Times New Roman" w:cs="Times New Roman"/>
          <w:sz w:val="24"/>
          <w:szCs w:val="24"/>
        </w:rPr>
        <w:t>ORS .....</w:t>
      </w:r>
      <w:proofErr w:type="gramEnd"/>
      <w:r w:rsidRPr="00912C1E">
        <w:rPr>
          <w:rFonts w:ascii="Times New Roman" w:hAnsi="Times New Roman" w:cs="Times New Roman"/>
          <w:sz w:val="24"/>
          <w:szCs w:val="24"/>
        </w:rPr>
        <w:t xml:space="preserve"> Respondents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Through Mr. A.S. </w:t>
      </w:r>
      <w:proofErr w:type="spellStart"/>
      <w:r w:rsidRPr="00912C1E">
        <w:rPr>
          <w:rFonts w:ascii="Times New Roman" w:hAnsi="Times New Roman" w:cs="Times New Roman"/>
          <w:sz w:val="24"/>
          <w:szCs w:val="24"/>
        </w:rPr>
        <w:t>Chandhiok</w:t>
      </w:r>
      <w:proofErr w:type="spellEnd"/>
      <w:r w:rsidRPr="00912C1E">
        <w:rPr>
          <w:rFonts w:ascii="Times New Roman" w:hAnsi="Times New Roman" w:cs="Times New Roman"/>
          <w:sz w:val="24"/>
          <w:szCs w:val="24"/>
        </w:rPr>
        <w:t>, ASG with Mr.</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Neeraj</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Chaudhari</w:t>
      </w:r>
      <w:proofErr w:type="spellEnd"/>
      <w:r w:rsidRPr="00912C1E">
        <w:rPr>
          <w:rFonts w:ascii="Times New Roman" w:hAnsi="Times New Roman" w:cs="Times New Roman"/>
          <w:sz w:val="24"/>
          <w:szCs w:val="24"/>
        </w:rPr>
        <w:t xml:space="preserve">, Mr. Khalid </w:t>
      </w:r>
      <w:proofErr w:type="spellStart"/>
      <w:r w:rsidRPr="00912C1E">
        <w:rPr>
          <w:rFonts w:ascii="Times New Roman" w:hAnsi="Times New Roman" w:cs="Times New Roman"/>
          <w:sz w:val="24"/>
          <w:szCs w:val="24"/>
        </w:rPr>
        <w:t>Arshad</w:t>
      </w:r>
      <w:proofErr w:type="spellEnd"/>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Ritesh</w:t>
      </w:r>
      <w:proofErr w:type="spell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Kumar, Mr. </w:t>
      </w:r>
      <w:proofErr w:type="spellStart"/>
      <w:r w:rsidRPr="00912C1E">
        <w:rPr>
          <w:rFonts w:ascii="Times New Roman" w:hAnsi="Times New Roman" w:cs="Times New Roman"/>
          <w:sz w:val="24"/>
          <w:szCs w:val="24"/>
        </w:rPr>
        <w:t>Sandeep</w:t>
      </w:r>
      <w:proofErr w:type="spellEnd"/>
      <w:r w:rsidRPr="00912C1E">
        <w:rPr>
          <w:rFonts w:ascii="Times New Roman" w:hAnsi="Times New Roman" w:cs="Times New Roman"/>
          <w:sz w:val="24"/>
          <w:szCs w:val="24"/>
        </w:rPr>
        <w:t xml:space="preserve"> Bajaj, Advs. for UOI.</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Mr. A.M. </w:t>
      </w:r>
      <w:proofErr w:type="spellStart"/>
      <w:r w:rsidRPr="00912C1E">
        <w:rPr>
          <w:rFonts w:ascii="Times New Roman" w:hAnsi="Times New Roman" w:cs="Times New Roman"/>
          <w:sz w:val="24"/>
          <w:szCs w:val="24"/>
        </w:rPr>
        <w:t>Singhvi</w:t>
      </w:r>
      <w:proofErr w:type="spellEnd"/>
      <w:r w:rsidRPr="00912C1E">
        <w:rPr>
          <w:rFonts w:ascii="Times New Roman" w:hAnsi="Times New Roman" w:cs="Times New Roman"/>
          <w:sz w:val="24"/>
          <w:szCs w:val="24"/>
        </w:rPr>
        <w:t xml:space="preserve">, Sr. Adv. with Ms. </w:t>
      </w:r>
      <w:proofErr w:type="spellStart"/>
      <w:r w:rsidRPr="00912C1E">
        <w:rPr>
          <w:rFonts w:ascii="Times New Roman" w:hAnsi="Times New Roman" w:cs="Times New Roman"/>
          <w:sz w:val="24"/>
          <w:szCs w:val="24"/>
        </w:rPr>
        <w:t>Prathiba</w:t>
      </w:r>
      <w:proofErr w:type="spellEnd"/>
      <w:r w:rsidRPr="00912C1E">
        <w:rPr>
          <w:rFonts w:ascii="Times New Roman" w:hAnsi="Times New Roman" w:cs="Times New Roman"/>
          <w:sz w:val="24"/>
          <w:szCs w:val="24"/>
        </w:rPr>
        <w:t xml:space="preserve"> M.</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Singh, Ms. </w:t>
      </w:r>
      <w:proofErr w:type="spellStart"/>
      <w:r w:rsidRPr="00912C1E">
        <w:rPr>
          <w:rFonts w:ascii="Times New Roman" w:hAnsi="Times New Roman" w:cs="Times New Roman"/>
          <w:sz w:val="24"/>
          <w:szCs w:val="24"/>
        </w:rPr>
        <w:t>Saya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Choudhary</w:t>
      </w:r>
      <w:proofErr w:type="spellEnd"/>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Kapil</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Wadhwa</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 xml:space="preserve">Advs. for R-3/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Anand</w:t>
      </w:r>
      <w:proofErr w:type="spellEnd"/>
      <w:r w:rsidRPr="00912C1E">
        <w:rPr>
          <w:rFonts w:ascii="Times New Roman" w:hAnsi="Times New Roman" w:cs="Times New Roman"/>
          <w:sz w:val="24"/>
          <w:szCs w:val="24"/>
        </w:rPr>
        <w:t xml:space="preserve"> Grover, Ms. </w:t>
      </w:r>
      <w:proofErr w:type="spellStart"/>
      <w:r w:rsidRPr="00912C1E">
        <w:rPr>
          <w:rFonts w:ascii="Times New Roman" w:hAnsi="Times New Roman" w:cs="Times New Roman"/>
          <w:sz w:val="24"/>
          <w:szCs w:val="24"/>
        </w:rPr>
        <w:t>Nandita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Rao</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w:t>
      </w:r>
      <w:proofErr w:type="spellEnd"/>
      <w:r w:rsidRPr="00912C1E">
        <w:rPr>
          <w:rFonts w:ascii="Times New Roman" w:hAnsi="Times New Roman" w:cs="Times New Roman"/>
          <w:sz w:val="24"/>
          <w:szCs w:val="24"/>
        </w:rPr>
        <w:t xml:space="preserve"> Julie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George, Ms. </w:t>
      </w:r>
      <w:proofErr w:type="spellStart"/>
      <w:r w:rsidRPr="00912C1E">
        <w:rPr>
          <w:rFonts w:ascii="Times New Roman" w:hAnsi="Times New Roman" w:cs="Times New Roman"/>
          <w:sz w:val="24"/>
          <w:szCs w:val="24"/>
        </w:rPr>
        <w:t>Prathibha</w:t>
      </w:r>
      <w:proofErr w:type="spellEnd"/>
      <w:r w:rsidRPr="00912C1E">
        <w:rPr>
          <w:rFonts w:ascii="Times New Roman" w:hAnsi="Times New Roman" w:cs="Times New Roman"/>
          <w:sz w:val="24"/>
          <w:szCs w:val="24"/>
        </w:rPr>
        <w:t xml:space="preserve"> Siva </w:t>
      </w:r>
      <w:proofErr w:type="spellStart"/>
      <w:r w:rsidRPr="00912C1E">
        <w:rPr>
          <w:rFonts w:ascii="Times New Roman" w:hAnsi="Times New Roman" w:cs="Times New Roman"/>
          <w:sz w:val="24"/>
          <w:szCs w:val="24"/>
        </w:rPr>
        <w:t>Subramaniam</w:t>
      </w:r>
      <w:proofErr w:type="spellEnd"/>
      <w:r w:rsidRPr="00912C1E">
        <w:rPr>
          <w:rFonts w:ascii="Times New Roman" w:hAnsi="Times New Roman" w:cs="Times New Roman"/>
          <w:sz w:val="24"/>
          <w:szCs w:val="24"/>
        </w:rPr>
        <w:t>, Mr.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Arvind</w:t>
      </w:r>
      <w:proofErr w:type="spellEnd"/>
      <w:r w:rsidRPr="00912C1E">
        <w:rPr>
          <w:rFonts w:ascii="Times New Roman" w:hAnsi="Times New Roman" w:cs="Times New Roman"/>
          <w:sz w:val="24"/>
          <w:szCs w:val="24"/>
        </w:rPr>
        <w:t xml:space="preserve">, Advs. for R-4.Mr. </w:t>
      </w:r>
      <w:proofErr w:type="spellStart"/>
      <w:r w:rsidRPr="00912C1E">
        <w:rPr>
          <w:rFonts w:ascii="Times New Roman" w:hAnsi="Times New Roman" w:cs="Times New Roman"/>
          <w:sz w:val="24"/>
          <w:szCs w:val="24"/>
        </w:rPr>
        <w:t>Jayant</w:t>
      </w:r>
      <w:proofErr w:type="spellEnd"/>
      <w:r w:rsidRPr="00912C1E">
        <w:rPr>
          <w:rFonts w:ascii="Times New Roman" w:hAnsi="Times New Roman" w:cs="Times New Roman"/>
          <w:sz w:val="24"/>
          <w:szCs w:val="24"/>
        </w:rPr>
        <w:t xml:space="preserve"> K. Mehta with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Mr. </w:t>
      </w:r>
      <w:proofErr w:type="spellStart"/>
      <w:r w:rsidRPr="00912C1E">
        <w:rPr>
          <w:rFonts w:ascii="Times New Roman" w:hAnsi="Times New Roman" w:cs="Times New Roman"/>
          <w:sz w:val="24"/>
          <w:szCs w:val="24"/>
        </w:rPr>
        <w:t>Sandeep</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Phogat</w:t>
      </w:r>
      <w:proofErr w:type="spellEnd"/>
      <w:r w:rsidRPr="00912C1E">
        <w:rPr>
          <w:rFonts w:ascii="Times New Roman" w:hAnsi="Times New Roman" w:cs="Times New Roman"/>
          <w:sz w:val="24"/>
          <w:szCs w:val="24"/>
        </w:rPr>
        <w:t xml:space="preserve"> Advs. for applicant / Indian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Pharmaceuticals.</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CORAM: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HON'BLE THE CHIEF JUSTICE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HON'BLE DR.JUSTICE S. MURALIDHAR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1. Whether the reporters of local papers may be allowed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to</w:t>
      </w:r>
      <w:proofErr w:type="gramEnd"/>
      <w:r w:rsidRPr="00912C1E">
        <w:rPr>
          <w:rFonts w:ascii="Times New Roman" w:hAnsi="Times New Roman" w:cs="Times New Roman"/>
          <w:sz w:val="24"/>
          <w:szCs w:val="24"/>
        </w:rPr>
        <w:t xml:space="preserve"> see the judgment? Yes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2. To be referred to reporter or not? Yes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3. Whether the judgment should be reported in the Digest? Yes</w:t>
      </w:r>
      <w:r w:rsidRPr="00912C1E">
        <w:rPr>
          <w:rFonts w:ascii="Times New Roman" w:hAnsi="Times New Roman" w:cs="Times New Roman"/>
          <w:sz w:val="24"/>
          <w:szCs w:val="24"/>
        </w:rPr>
        <w:cr/>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SALIENT FEATURES OF THE JUDGMENT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This appeal is directed against the judgment dated 18 </w:t>
      </w:r>
      <w:proofErr w:type="spellStart"/>
      <w:r w:rsidRPr="00912C1E">
        <w:rPr>
          <w:rFonts w:ascii="Times New Roman" w:hAnsi="Times New Roman" w:cs="Times New Roman"/>
          <w:sz w:val="24"/>
          <w:szCs w:val="24"/>
        </w:rPr>
        <w:t>th</w:t>
      </w:r>
      <w:proofErr w:type="spellEnd"/>
      <w:r w:rsidRPr="00912C1E">
        <w:rPr>
          <w:rFonts w:ascii="Times New Roman" w:hAnsi="Times New Roman" w:cs="Times New Roman"/>
          <w:sz w:val="24"/>
          <w:szCs w:val="24"/>
        </w:rPr>
        <w:t xml:space="preserve"> August, 2009 passed by a learned Single Judge of this court dismissing the appellants‟ LPA 443/2009 page 1 of 27 Writ Petition (C) No. 7833 of 2008. In the writ petition the appellants Bayer Corporation and Bayer </w:t>
      </w:r>
      <w:proofErr w:type="spellStart"/>
      <w:r w:rsidRPr="00912C1E">
        <w:rPr>
          <w:rFonts w:ascii="Times New Roman" w:hAnsi="Times New Roman" w:cs="Times New Roman"/>
          <w:sz w:val="24"/>
          <w:szCs w:val="24"/>
        </w:rPr>
        <w:t>Polychem</w:t>
      </w:r>
      <w:proofErr w:type="spellEnd"/>
      <w:r w:rsidRPr="00912C1E">
        <w:rPr>
          <w:rFonts w:ascii="Times New Roman" w:hAnsi="Times New Roman" w:cs="Times New Roman"/>
          <w:sz w:val="24"/>
          <w:szCs w:val="24"/>
        </w:rPr>
        <w:t xml:space="preserve"> (India) Ltd. (hereafter collectively referred to as „Bayer‟) sought directions inter alia to restrain the Drug Controller General of India (DCGI), respondent No. 2 herein, from granting a drug </w:t>
      </w:r>
      <w:proofErr w:type="spellStart"/>
      <w:r w:rsidRPr="00912C1E">
        <w:rPr>
          <w:rFonts w:ascii="Times New Roman" w:hAnsi="Times New Roman" w:cs="Times New Roman"/>
          <w:sz w:val="24"/>
          <w:szCs w:val="24"/>
        </w:rPr>
        <w:t>licence</w:t>
      </w:r>
      <w:proofErr w:type="spellEnd"/>
      <w:r w:rsidRPr="00912C1E">
        <w:rPr>
          <w:rFonts w:ascii="Times New Roman" w:hAnsi="Times New Roman" w:cs="Times New Roman"/>
          <w:sz w:val="24"/>
          <w:szCs w:val="24"/>
        </w:rPr>
        <w:t xml:space="preserve"> to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Ltd. (hereafter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respondent No. 3 herein (a generic drug manufacturer), to manufacture, sell and distribute its drug "</w:t>
      </w:r>
      <w:proofErr w:type="spellStart"/>
      <w:r w:rsidRPr="00912C1E">
        <w:rPr>
          <w:rFonts w:ascii="Times New Roman" w:hAnsi="Times New Roman" w:cs="Times New Roman"/>
          <w:sz w:val="24"/>
          <w:szCs w:val="24"/>
        </w:rPr>
        <w:t>sorafenib</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tosylate</w:t>
      </w:r>
      <w:proofErr w:type="spellEnd"/>
      <w:r w:rsidRPr="00912C1E">
        <w:rPr>
          <w:rFonts w:ascii="Times New Roman" w:hAnsi="Times New Roman" w:cs="Times New Roman"/>
          <w:sz w:val="24"/>
          <w:szCs w:val="24"/>
        </w:rPr>
        <w:t>", prescribed for the treatment of advanced renal cell carcinoma.</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There is merit in the contention that if it was the intention of the Parliament to link the entry of information in respect of patent status with the grant of marketing/manufacturing approval, then the definition of „new drug‟ under Rule 122 E DCR ought to have been amended. A patent is valid for 20 years and if such linkage is recognized, then every time a marketing approval is sought by a generic manufacturer of a patented drug, the DCGI will have to perforce reject such application as long as 20 years have not elapsed from the date of grant of the patent. This is contrary to the provisions of the DCA as well as the provisions of the Patents Act. This court cannot possibly read into the statute a provision that plainly does not exist. (See e.g., Unique </w:t>
      </w:r>
      <w:proofErr w:type="spellStart"/>
      <w:r w:rsidRPr="00912C1E">
        <w:rPr>
          <w:rFonts w:ascii="Times New Roman" w:hAnsi="Times New Roman" w:cs="Times New Roman"/>
          <w:sz w:val="24"/>
          <w:szCs w:val="24"/>
        </w:rPr>
        <w:t>Butyle</w:t>
      </w:r>
      <w:proofErr w:type="spellEnd"/>
      <w:r w:rsidRPr="00912C1E">
        <w:rPr>
          <w:rFonts w:ascii="Times New Roman" w:hAnsi="Times New Roman" w:cs="Times New Roman"/>
          <w:sz w:val="24"/>
          <w:szCs w:val="24"/>
        </w:rPr>
        <w:t xml:space="preserve"> Tube </w:t>
      </w:r>
      <w:proofErr w:type="spellStart"/>
      <w:r w:rsidRPr="00912C1E">
        <w:rPr>
          <w:rFonts w:ascii="Times New Roman" w:hAnsi="Times New Roman" w:cs="Times New Roman"/>
          <w:sz w:val="24"/>
          <w:szCs w:val="24"/>
        </w:rPr>
        <w:t>Inds</w:t>
      </w:r>
      <w:proofErr w:type="spellEnd"/>
      <w:r w:rsidRPr="00912C1E">
        <w:rPr>
          <w:rFonts w:ascii="Times New Roman" w:hAnsi="Times New Roman" w:cs="Times New Roman"/>
          <w:sz w:val="24"/>
          <w:szCs w:val="24"/>
        </w:rPr>
        <w:t xml:space="preserve"> P Ltd. v. U.P. Financial </w:t>
      </w:r>
      <w:proofErr w:type="spellStart"/>
      <w:r w:rsidRPr="00912C1E">
        <w:rPr>
          <w:rFonts w:ascii="Times New Roman" w:hAnsi="Times New Roman" w:cs="Times New Roman"/>
          <w:sz w:val="24"/>
          <w:szCs w:val="24"/>
        </w:rPr>
        <w:t>Corprn</w:t>
      </w:r>
      <w:proofErr w:type="spellEnd"/>
      <w:r w:rsidRPr="00912C1E">
        <w:rPr>
          <w:rFonts w:ascii="Times New Roman" w:hAnsi="Times New Roman" w:cs="Times New Roman"/>
          <w:sz w:val="24"/>
          <w:szCs w:val="24"/>
        </w:rPr>
        <w:t xml:space="preserve"> (200)3 2 SCC 455 at 462 and </w:t>
      </w:r>
      <w:proofErr w:type="spellStart"/>
      <w:r w:rsidRPr="00912C1E">
        <w:rPr>
          <w:rFonts w:ascii="Times New Roman" w:hAnsi="Times New Roman" w:cs="Times New Roman"/>
          <w:sz w:val="24"/>
          <w:szCs w:val="24"/>
        </w:rPr>
        <w:t>Dadi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Jagannadham</w:t>
      </w:r>
      <w:proofErr w:type="spellEnd"/>
      <w:r w:rsidRPr="00912C1E">
        <w:rPr>
          <w:rFonts w:ascii="Times New Roman" w:hAnsi="Times New Roman" w:cs="Times New Roman"/>
          <w:sz w:val="24"/>
          <w:szCs w:val="24"/>
        </w:rPr>
        <w:t xml:space="preserve"> v. </w:t>
      </w:r>
      <w:proofErr w:type="spellStart"/>
      <w:r w:rsidRPr="00912C1E">
        <w:rPr>
          <w:rFonts w:ascii="Times New Roman" w:hAnsi="Times New Roman" w:cs="Times New Roman"/>
          <w:sz w:val="24"/>
          <w:szCs w:val="24"/>
        </w:rPr>
        <w:t>Jammulu</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Ramulu</w:t>
      </w:r>
      <w:proofErr w:type="spellEnd"/>
      <w:r w:rsidRPr="00912C1E">
        <w:rPr>
          <w:rFonts w:ascii="Times New Roman" w:hAnsi="Times New Roman" w:cs="Times New Roman"/>
          <w:sz w:val="24"/>
          <w:szCs w:val="24"/>
        </w:rPr>
        <w:t xml:space="preserve"> (2001) 7 SCC 71 at 78) LPA 443/2009 page 20 of 27.</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This Court concurs with the learned Single Judge that the scheme of both the Patents Act and the DCA are distinct and separate and that the attempt by the appellant Bayer to establish a linkage cannot be countenanced. If </w:t>
      </w:r>
      <w:proofErr w:type="spellStart"/>
      <w:r w:rsidRPr="00912C1E">
        <w:rPr>
          <w:rFonts w:ascii="Times New Roman" w:hAnsi="Times New Roman" w:cs="Times New Roman"/>
          <w:sz w:val="24"/>
          <w:szCs w:val="24"/>
        </w:rPr>
        <w:t>Bayer‟s</w:t>
      </w:r>
      <w:proofErr w:type="spellEnd"/>
      <w:r w:rsidRPr="00912C1E">
        <w:rPr>
          <w:rFonts w:ascii="Times New Roman" w:hAnsi="Times New Roman" w:cs="Times New Roman"/>
          <w:sz w:val="24"/>
          <w:szCs w:val="24"/>
        </w:rPr>
        <w:t xml:space="preserve"> argument were to be accepted, it would mean that instead of the validity of the patent being tested, if at all, either in revocation proceedings or </w:t>
      </w:r>
      <w:r w:rsidRPr="00912C1E">
        <w:rPr>
          <w:rFonts w:ascii="Times New Roman" w:hAnsi="Times New Roman" w:cs="Times New Roman"/>
          <w:sz w:val="24"/>
          <w:szCs w:val="24"/>
        </w:rPr>
        <w:lastRenderedPageBreak/>
        <w:t xml:space="preserve">by way of a counter-claim in infringement proceedings instituted by the patent holder, the DCGI will begin with the presumption that the patent granted in respect of the drug for which marketing approval is sought has been validly granted. He will then either outright refuse the marketing approval sought for a patented drug by the applicant (a generic manufacturer) or, as was suggested by </w:t>
      </w:r>
      <w:proofErr w:type="spellStart"/>
      <w:r w:rsidRPr="00912C1E">
        <w:rPr>
          <w:rFonts w:ascii="Times New Roman" w:hAnsi="Times New Roman" w:cs="Times New Roman"/>
          <w:sz w:val="24"/>
          <w:szCs w:val="24"/>
        </w:rPr>
        <w:t>Mr.Shanti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Bhushan</w:t>
      </w:r>
      <w:proofErr w:type="spellEnd"/>
      <w:r w:rsidRPr="00912C1E">
        <w:rPr>
          <w:rFonts w:ascii="Times New Roman" w:hAnsi="Times New Roman" w:cs="Times New Roman"/>
          <w:sz w:val="24"/>
          <w:szCs w:val="24"/>
        </w:rPr>
        <w:t xml:space="preserve">, put the application „on hold‟ till the applicant gets the question of the validity of the patent settled in proceedings that the applicant will have to institute before the Intellectual Property Appellate Board (IPAB). This argument is premised on a procedure that is not at all envisaged under the DCA and clearly is beyond the scope of the powers of the DCGI. As has been stressed by the DCGI, that office is plainly not equipped to deal with issues concerning the validity of a patent. That is a complex process as is evident LPA 443/2009 page 21 of 27 from the provisions of the Patents Act. What Bayer wants the DCGI to do is to enforce its rights as a patent holder in terms of Section 48 of the Patents Act. That is plainly not the function of the DCGI. His powers and jurisdiction are circumscribed by the DCA and not the Patents Act. It is entirely up to the patent holder to seek whatever remedies are available to it to enforce and protect its patent from infringement. This is in the private law domain. The DCA has nothing to do with it. There is merit in the contention that when a private right is conferred by a statute, the remedy for an infringement of that right has to be in terms of that statute and no other. (See </w:t>
      </w:r>
      <w:proofErr w:type="spellStart"/>
      <w:r w:rsidRPr="00912C1E">
        <w:rPr>
          <w:rFonts w:ascii="Times New Roman" w:hAnsi="Times New Roman" w:cs="Times New Roman"/>
          <w:sz w:val="24"/>
          <w:szCs w:val="24"/>
        </w:rPr>
        <w:t>U.P.State</w:t>
      </w:r>
      <w:proofErr w:type="spellEnd"/>
      <w:r w:rsidRPr="00912C1E">
        <w:rPr>
          <w:rFonts w:ascii="Times New Roman" w:hAnsi="Times New Roman" w:cs="Times New Roman"/>
          <w:sz w:val="24"/>
          <w:szCs w:val="24"/>
        </w:rPr>
        <w:t xml:space="preserve"> Bridge </w:t>
      </w:r>
      <w:proofErr w:type="spellStart"/>
      <w:r w:rsidRPr="00912C1E">
        <w:rPr>
          <w:rFonts w:ascii="Times New Roman" w:hAnsi="Times New Roman" w:cs="Times New Roman"/>
          <w:sz w:val="24"/>
          <w:szCs w:val="24"/>
        </w:rPr>
        <w:t>Corprn</w:t>
      </w:r>
      <w:proofErr w:type="spellEnd"/>
      <w:r w:rsidRPr="00912C1E">
        <w:rPr>
          <w:rFonts w:ascii="Times New Roman" w:hAnsi="Times New Roman" w:cs="Times New Roman"/>
          <w:sz w:val="24"/>
          <w:szCs w:val="24"/>
        </w:rPr>
        <w:t xml:space="preserve"> Ltd. v. </w:t>
      </w:r>
      <w:proofErr w:type="spellStart"/>
      <w:r w:rsidRPr="00912C1E">
        <w:rPr>
          <w:rFonts w:ascii="Times New Roman" w:hAnsi="Times New Roman" w:cs="Times New Roman"/>
          <w:sz w:val="24"/>
          <w:szCs w:val="24"/>
        </w:rPr>
        <w:t>U.P.Rajya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Setu</w:t>
      </w:r>
      <w:proofErr w:type="spellEnd"/>
      <w:r w:rsidRPr="00912C1E">
        <w:rPr>
          <w:rFonts w:ascii="Times New Roman" w:hAnsi="Times New Roman" w:cs="Times New Roman"/>
          <w:sz w:val="24"/>
          <w:szCs w:val="24"/>
        </w:rPr>
        <w:t xml:space="preserve"> Nigam S. </w:t>
      </w:r>
      <w:proofErr w:type="spellStart"/>
      <w:r w:rsidRPr="00912C1E">
        <w:rPr>
          <w:rFonts w:ascii="Times New Roman" w:hAnsi="Times New Roman" w:cs="Times New Roman"/>
          <w:sz w:val="24"/>
          <w:szCs w:val="24"/>
        </w:rPr>
        <w:t>Karamchari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Sangh</w:t>
      </w:r>
      <w:proofErr w:type="spellEnd"/>
      <w:r w:rsidRPr="00912C1E">
        <w:rPr>
          <w:rFonts w:ascii="Times New Roman" w:hAnsi="Times New Roman" w:cs="Times New Roman"/>
          <w:sz w:val="24"/>
          <w:szCs w:val="24"/>
        </w:rPr>
        <w:t xml:space="preserve"> (2004) 4 SCC 268 at 275-276)</w:t>
      </w:r>
      <w:r w:rsidRPr="00912C1E">
        <w:rPr>
          <w:rFonts w:ascii="Times New Roman" w:hAnsi="Times New Roman" w:cs="Times New Roman"/>
          <w:sz w:val="24"/>
          <w:szCs w:val="24"/>
        </w:rPr>
        <w:cr/>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That brings us to the last issue, whether generic drugs are „spurious‟ drugs within the meaning of the DCA? Section 17B DCA states that a drug shall be deemed to be spurious "if it is an imitation of, or is a substitute for, another drug or resembles another drug in a manner likely to deceive or bears upon it or upon its label or container the name of another drug unless it is plainly and conspicuously marked so as to reveal its true character and its lack of identity with such other drug". It is difficult to appreciate how the elements of Section 17B DCA stand attracted when a generic manufacturer merely applies for marketing approval in respect of a patented drug. The contravention of the DCA as a result of the drug being a „spurious‟ drug cannot possibly occur even before such drug is manufactured or marketed. At the stage of application for permission to manufacture or market, all that the DCGI can ensure, consistent with Section 17 B (a) </w:t>
      </w:r>
      <w:proofErr w:type="gramStart"/>
      <w:r w:rsidRPr="00912C1E">
        <w:rPr>
          <w:rFonts w:ascii="Times New Roman" w:hAnsi="Times New Roman" w:cs="Times New Roman"/>
          <w:sz w:val="24"/>
          <w:szCs w:val="24"/>
        </w:rPr>
        <w:t>DCA,</w:t>
      </w:r>
      <w:proofErr w:type="gramEnd"/>
      <w:r w:rsidRPr="00912C1E">
        <w:rPr>
          <w:rFonts w:ascii="Times New Roman" w:hAnsi="Times New Roman" w:cs="Times New Roman"/>
          <w:sz w:val="24"/>
          <w:szCs w:val="24"/>
        </w:rPr>
        <w:t xml:space="preserve"> is that the proposed brand name of the drug is not similar to the brand name of any other drug. To that limited extent, Section 17 B (a) is a provision that LPA 443/2009 page 25 of 27 requires to be factored in by the DCGI at the time of grant of marketing approval.</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There is another aspect of the matter that requires to be adverted to. The manufacture or marketing of spurious drugs under the DCA attracts penal consequences whereas the Patents Act itself does not envisage penal consequences in the event of an infringement of a patent. Therefore, by accepting </w:t>
      </w:r>
      <w:proofErr w:type="spellStart"/>
      <w:r w:rsidRPr="00912C1E">
        <w:rPr>
          <w:rFonts w:ascii="Times New Roman" w:hAnsi="Times New Roman" w:cs="Times New Roman"/>
          <w:sz w:val="24"/>
          <w:szCs w:val="24"/>
        </w:rPr>
        <w:t>Bayer‟s</w:t>
      </w:r>
      <w:proofErr w:type="spellEnd"/>
      <w:r w:rsidRPr="00912C1E">
        <w:rPr>
          <w:rFonts w:ascii="Times New Roman" w:hAnsi="Times New Roman" w:cs="Times New Roman"/>
          <w:sz w:val="24"/>
          <w:szCs w:val="24"/>
        </w:rPr>
        <w:t xml:space="preserve"> contention that every generic drug would be a spurious drug, court would be subjecting manufacturers of generic versions of patented drugs to prosecution under the DCA although the Patents Act does not provide for such a consequence. This is yet another reason why the attempt at bringing in patent linkage on the basis of the existing provisions of the Patents Act and the DCA cannot be countenanced. For the aforementioned reasons this court does not find any ground having been made out to reverse the well-reasoned judgment of learned single Judge in which we fully concur. The appeal is </w:t>
      </w:r>
      <w:r w:rsidRPr="00912C1E">
        <w:rPr>
          <w:rFonts w:ascii="Times New Roman" w:hAnsi="Times New Roman" w:cs="Times New Roman"/>
          <w:sz w:val="24"/>
          <w:szCs w:val="24"/>
        </w:rPr>
        <w:lastRenderedPageBreak/>
        <w:t>accordingly dismissed.</w:t>
      </w:r>
      <w:r w:rsidRPr="00912C1E">
        <w:rPr>
          <w:rFonts w:ascii="Times New Roman" w:hAnsi="Times New Roman" w:cs="Times New Roman"/>
          <w:sz w:val="24"/>
          <w:szCs w:val="24"/>
        </w:rPr>
        <w:cr/>
      </w:r>
    </w:p>
    <w:p w:rsidR="00912C1E" w:rsidRPr="00912C1E" w:rsidRDefault="00912C1E" w:rsidP="00912C1E">
      <w:pPr>
        <w:shd w:val="clear" w:color="auto" w:fill="FFFFFF"/>
        <w:spacing w:after="0" w:line="240" w:lineRule="auto"/>
        <w:jc w:val="both"/>
        <w:rPr>
          <w:rFonts w:ascii="Times New Roman" w:hAnsi="Times New Roman" w:cs="Times New Roman"/>
          <w:b/>
          <w:sz w:val="24"/>
          <w:szCs w:val="24"/>
        </w:rPr>
      </w:pPr>
      <w:r w:rsidRPr="00912C1E">
        <w:rPr>
          <w:rFonts w:ascii="Times New Roman" w:hAnsi="Times New Roman" w:cs="Times New Roman"/>
          <w:b/>
          <w:sz w:val="24"/>
          <w:szCs w:val="24"/>
          <w:highlight w:val="yellow"/>
        </w:rPr>
        <w:t>CASE LAW VII:</w:t>
      </w:r>
      <w:r w:rsidRPr="00912C1E">
        <w:rPr>
          <w:rFonts w:ascii="Times New Roman" w:hAnsi="Times New Roman" w:cs="Times New Roman"/>
          <w:b/>
          <w:sz w:val="24"/>
          <w:szCs w:val="24"/>
        </w:rPr>
        <w:t xml:space="preserve">  </w:t>
      </w:r>
    </w:p>
    <w:p w:rsidR="00912C1E" w:rsidRDefault="00912C1E"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b/>
          <w:sz w:val="24"/>
          <w:szCs w:val="24"/>
        </w:rPr>
        <w:t xml:space="preserve">INFRINGEMENT SUIT - </w:t>
      </w:r>
      <w:r w:rsidRPr="00912C1E">
        <w:rPr>
          <w:rFonts w:ascii="Times New Roman" w:hAnsi="Times New Roman" w:cs="Times New Roman"/>
          <w:sz w:val="24"/>
          <w:szCs w:val="24"/>
        </w:rPr>
        <w:t xml:space="preserve">F. Hoffmann-La Roche Ltd &amp; OSI Pharmaceuticals, Inc.,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CIPLA for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xml:space="preserve">  that is sold by the plaintiffs under the trademark and name of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Entire text can be accessed through: </w:t>
      </w:r>
      <w:hyperlink r:id="rId69" w:history="1">
        <w:r w:rsidRPr="00912C1E">
          <w:rPr>
            <w:rStyle w:val="Hyperlink"/>
            <w:rFonts w:ascii="Times New Roman" w:hAnsi="Times New Roman" w:cs="Times New Roman"/>
            <w:sz w:val="24"/>
            <w:szCs w:val="24"/>
          </w:rPr>
          <w:t>https://indiankanoon.org/doc/123231822/</w:t>
        </w:r>
      </w:hyperlink>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Delhi High Court</w:t>
      </w:r>
    </w:p>
    <w:p w:rsidR="000B26A4" w:rsidRDefault="000B26A4"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 Hoffmann-La Roche </w:t>
      </w:r>
      <w:proofErr w:type="gramStart"/>
      <w:r w:rsidRPr="00912C1E">
        <w:rPr>
          <w:rFonts w:ascii="Times New Roman" w:hAnsi="Times New Roman" w:cs="Times New Roman"/>
          <w:sz w:val="24"/>
          <w:szCs w:val="24"/>
        </w:rPr>
        <w:t>Ltd, ...</w:t>
      </w:r>
      <w:proofErr w:type="gram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Ltd., Mumbai Central, ... on 7 September, 2012</w:t>
      </w: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 xml:space="preserve">Author: Justice </w:t>
      </w:r>
      <w:proofErr w:type="spellStart"/>
      <w:r w:rsidRPr="00912C1E">
        <w:rPr>
          <w:rFonts w:ascii="Times New Roman" w:hAnsi="Times New Roman" w:cs="Times New Roman"/>
          <w:b/>
          <w:sz w:val="24"/>
          <w:szCs w:val="24"/>
        </w:rPr>
        <w:t>Manmohan</w:t>
      </w:r>
      <w:proofErr w:type="spellEnd"/>
      <w:r w:rsidRPr="00912C1E">
        <w:rPr>
          <w:rFonts w:ascii="Times New Roman" w:hAnsi="Times New Roman" w:cs="Times New Roman"/>
          <w:b/>
          <w:sz w:val="24"/>
          <w:szCs w:val="24"/>
        </w:rPr>
        <w:t xml:space="preserve"> Singh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HIGH COURT OF DELHI: NEW DELHI</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Judgment reserved on: 01.06.2012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Judgment pronounced on: 07.09.2012</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CS (OS) No.89/2008 and C.C. 52/2008</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1. F. Hoffmann-La Roche Ltd,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Switzerland.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2. OSI Pharmaceuticals, Inc.,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New York.                                         ..... Plaintiffs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Through      </w:t>
      </w:r>
      <w:proofErr w:type="spellStart"/>
      <w:r w:rsidRPr="00912C1E">
        <w:rPr>
          <w:rFonts w:ascii="Times New Roman" w:hAnsi="Times New Roman" w:cs="Times New Roman"/>
          <w:sz w:val="24"/>
          <w:szCs w:val="24"/>
        </w:rPr>
        <w:t>Dr.C.S.Vaidyanathan</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Sr.Advocate</w:t>
      </w:r>
      <w:proofErr w:type="spellEnd"/>
      <w:r w:rsidRPr="00912C1E">
        <w:rPr>
          <w:rFonts w:ascii="Times New Roman" w:hAnsi="Times New Roman" w:cs="Times New Roman"/>
          <w:sz w:val="24"/>
          <w:szCs w:val="24"/>
        </w:rPr>
        <w:t xml:space="preserve"> with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Mr.Pravin</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Anand</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Ms.Archana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Shanker</w:t>
      </w:r>
      <w:proofErr w:type="spellEnd"/>
      <w:r w:rsidRPr="00912C1E">
        <w:rPr>
          <w:rFonts w:ascii="Times New Roman" w:hAnsi="Times New Roman" w:cs="Times New Roman"/>
          <w:sz w:val="24"/>
          <w:szCs w:val="24"/>
        </w:rPr>
        <w: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Mr.Shrawan</w:t>
      </w:r>
      <w:proofErr w:type="spellEnd"/>
      <w:r w:rsidRPr="00912C1E">
        <w:rPr>
          <w:rFonts w:ascii="Times New Roman" w:hAnsi="Times New Roman" w:cs="Times New Roman"/>
          <w:sz w:val="24"/>
          <w:szCs w:val="24"/>
        </w:rPr>
        <w:t xml:space="preserve"> Chopra, </w:t>
      </w:r>
      <w:proofErr w:type="spellStart"/>
      <w:r w:rsidRPr="00912C1E">
        <w:rPr>
          <w:rFonts w:ascii="Times New Roman" w:hAnsi="Times New Roman" w:cs="Times New Roman"/>
          <w:sz w:val="24"/>
          <w:szCs w:val="24"/>
        </w:rPr>
        <w:t>Mr.Mahabir</w:t>
      </w:r>
      <w:proofErr w:type="spellEnd"/>
      <w:r w:rsidRPr="00912C1E">
        <w:rPr>
          <w:rFonts w:ascii="Times New Roman" w:hAnsi="Times New Roman" w:cs="Times New Roman"/>
          <w:sz w:val="24"/>
          <w:szCs w:val="24"/>
        </w:rPr>
        <w:t xml:space="preserve"> 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Ms.Lakshmi</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Kruttika</w:t>
      </w:r>
      <w:proofErr w:type="spellEnd"/>
      <w:r w:rsidRPr="00912C1E">
        <w:rPr>
          <w:rFonts w:ascii="Times New Roman" w:hAnsi="Times New Roman" w:cs="Times New Roman"/>
          <w:sz w:val="24"/>
          <w:szCs w:val="24"/>
        </w:rPr>
        <w:t xml:space="preserve"> Vijay, </w:t>
      </w:r>
      <w:proofErr w:type="spellStart"/>
      <w:r w:rsidRPr="00912C1E">
        <w:rPr>
          <w:rFonts w:ascii="Times New Roman" w:hAnsi="Times New Roman" w:cs="Times New Roman"/>
          <w:sz w:val="24"/>
          <w:szCs w:val="24"/>
        </w:rPr>
        <w:t>Ms.Prachi</w:t>
      </w:r>
      <w:proofErr w:type="spell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Agarwal</w:t>
      </w:r>
      <w:proofErr w:type="spellEnd"/>
      <w:r w:rsidRPr="00912C1E">
        <w:rPr>
          <w:rFonts w:ascii="Times New Roman" w:hAnsi="Times New Roman" w:cs="Times New Roman"/>
          <w:sz w:val="24"/>
          <w:szCs w:val="24"/>
        </w:rPr>
        <w:t>, Advocates</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versus</w:t>
      </w:r>
      <w:proofErr w:type="gramEnd"/>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proofErr w:type="spellStart"/>
      <w:r w:rsidRPr="00912C1E">
        <w:rPr>
          <w:rFonts w:ascii="Times New Roman" w:hAnsi="Times New Roman" w:cs="Times New Roman"/>
          <w:sz w:val="24"/>
          <w:szCs w:val="24"/>
        </w:rPr>
        <w:t>Cipla</w:t>
      </w:r>
      <w:proofErr w:type="spellEnd"/>
      <w:r w:rsidRPr="00912C1E">
        <w:rPr>
          <w:rFonts w:ascii="Times New Roman" w:hAnsi="Times New Roman" w:cs="Times New Roman"/>
          <w:sz w:val="24"/>
          <w:szCs w:val="24"/>
        </w:rPr>
        <w:t xml:space="preserve"> Ltd., Mumbai Central, Mumbai                  ..... Defendant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Through      </w:t>
      </w:r>
      <w:proofErr w:type="spellStart"/>
      <w:r w:rsidRPr="00912C1E">
        <w:rPr>
          <w:rFonts w:ascii="Times New Roman" w:hAnsi="Times New Roman" w:cs="Times New Roman"/>
          <w:sz w:val="24"/>
          <w:szCs w:val="24"/>
        </w:rPr>
        <w:t>Mr.Harish</w:t>
      </w:r>
      <w:proofErr w:type="spellEnd"/>
      <w:r w:rsidRPr="00912C1E">
        <w:rPr>
          <w:rFonts w:ascii="Times New Roman" w:hAnsi="Times New Roman" w:cs="Times New Roman"/>
          <w:sz w:val="24"/>
          <w:szCs w:val="24"/>
        </w:rPr>
        <w:t xml:space="preserve"> Salve, </w:t>
      </w:r>
      <w:proofErr w:type="spellStart"/>
      <w:r w:rsidRPr="00912C1E">
        <w:rPr>
          <w:rFonts w:ascii="Times New Roman" w:hAnsi="Times New Roman" w:cs="Times New Roman"/>
          <w:sz w:val="24"/>
          <w:szCs w:val="24"/>
        </w:rPr>
        <w:t>Sr.Advocate</w:t>
      </w:r>
      <w:proofErr w:type="spellEnd"/>
      <w:r w:rsidRPr="00912C1E">
        <w:rPr>
          <w:rFonts w:ascii="Times New Roman" w:hAnsi="Times New Roman" w:cs="Times New Roman"/>
          <w:sz w:val="24"/>
          <w:szCs w:val="24"/>
        </w:rPr>
        <w:t xml:space="preserve"> with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Ms.Pratibha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M.Singh</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Ms.Bitika</w:t>
      </w:r>
      <w:proofErr w:type="spellEnd"/>
      <w:r w:rsidRPr="00912C1E">
        <w:rPr>
          <w:rFonts w:ascii="Times New Roman" w:hAnsi="Times New Roman" w:cs="Times New Roman"/>
          <w:sz w:val="24"/>
          <w:szCs w:val="24"/>
        </w:rPr>
        <w:t xml:space="preserve"> Sharma,</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Ms.Ujjwala</w:t>
      </w:r>
      <w:proofErr w:type="spellEnd"/>
      <w:r w:rsidRPr="00912C1E">
        <w:rPr>
          <w:rFonts w:ascii="Times New Roman" w:hAnsi="Times New Roman" w:cs="Times New Roman"/>
          <w:sz w:val="24"/>
          <w:szCs w:val="24"/>
        </w:rPr>
        <w:t xml:space="preserve"> Jeremiah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Ms.Anusuya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Mehrotra</w:t>
      </w:r>
      <w:proofErr w:type="spellEnd"/>
      <w:r w:rsidRPr="00912C1E">
        <w:rPr>
          <w:rFonts w:ascii="Times New Roman" w:hAnsi="Times New Roman" w:cs="Times New Roman"/>
          <w:sz w:val="24"/>
          <w:szCs w:val="24"/>
        </w:rPr>
        <w:t>, Advocates</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b/>
          <w:sz w:val="24"/>
          <w:szCs w:val="24"/>
        </w:rPr>
      </w:pPr>
      <w:r w:rsidRPr="00912C1E">
        <w:rPr>
          <w:rFonts w:ascii="Times New Roman" w:hAnsi="Times New Roman" w:cs="Times New Roman"/>
          <w:b/>
          <w:sz w:val="24"/>
          <w:szCs w:val="24"/>
        </w:rPr>
        <w:t>CORAM:</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HON'BLE MR. JUSTICE MANMOHAN SINGH</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MANMOHAN SINGH, J.</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REPRODUCTION OF SALIENT PARAGRAPHS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A specific statement has been made in para-7 of the plaint that plaintiff No.2 along with M/s Pfizer Products Inc. had applied for grant of patent in respect of drug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xml:space="preserve"> and its process vide application No.537/DEL/1996 on 13th March, 1996. The Controller General of Patents, Trademarks and Designs, New Delhi, granted a certificate bearing Patent No.196774 (hereinafter referred as IN'774 or suit patent) dated 23rd February, 2007 which has been </w:t>
      </w:r>
      <w:r w:rsidRPr="00912C1E">
        <w:rPr>
          <w:rFonts w:ascii="Times New Roman" w:hAnsi="Times New Roman" w:cs="Times New Roman"/>
          <w:sz w:val="24"/>
          <w:szCs w:val="24"/>
        </w:rPr>
        <w:lastRenderedPageBreak/>
        <w:t xml:space="preserve">recorded in the Register of Patents on 6 </w:t>
      </w:r>
      <w:proofErr w:type="spellStart"/>
      <w:proofErr w:type="gramStart"/>
      <w:r w:rsidRPr="00912C1E">
        <w:rPr>
          <w:rFonts w:ascii="Times New Roman" w:hAnsi="Times New Roman" w:cs="Times New Roman"/>
          <w:sz w:val="24"/>
          <w:szCs w:val="24"/>
        </w:rPr>
        <w:t>th</w:t>
      </w:r>
      <w:proofErr w:type="spellEnd"/>
      <w:proofErr w:type="gramEnd"/>
      <w:r w:rsidRPr="00912C1E">
        <w:rPr>
          <w:rFonts w:ascii="Times New Roman" w:hAnsi="Times New Roman" w:cs="Times New Roman"/>
          <w:sz w:val="24"/>
          <w:szCs w:val="24"/>
        </w:rPr>
        <w:t xml:space="preserve"> July, 2007. The molecular name of patent is ‗A NOVEL [6, 7-</w:t>
      </w:r>
      <w:proofErr w:type="gramStart"/>
      <w:r w:rsidRPr="00912C1E">
        <w:rPr>
          <w:rFonts w:ascii="Times New Roman" w:hAnsi="Times New Roman" w:cs="Times New Roman"/>
          <w:sz w:val="24"/>
          <w:szCs w:val="24"/>
        </w:rPr>
        <w:t>BIS(</w:t>
      </w:r>
      <w:proofErr w:type="gramEnd"/>
      <w:r w:rsidRPr="00912C1E">
        <w:rPr>
          <w:rFonts w:ascii="Times New Roman" w:hAnsi="Times New Roman" w:cs="Times New Roman"/>
          <w:sz w:val="24"/>
          <w:szCs w:val="24"/>
        </w:rPr>
        <w:t xml:space="preserve">2- METHOXYETHOXY) QUINAZOLIN-4-YL]- (3-ETHYNYLPHENYL) AMINE HYDROCHLORIDE'. It is averred that the drug as well as the process of its manufacture is patented as per the provisions of the Patent Act, 1970 and entitled to their protection as such. The plaintiffs' product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xml:space="preserve"> Hydrochloride Tablets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which was registered by the Central Drug Standard Control Organization, Directorate General of Health Services, Government of India vide Registration Certificate dated 23 </w:t>
      </w:r>
      <w:proofErr w:type="spellStart"/>
      <w:r w:rsidRPr="00912C1E">
        <w:rPr>
          <w:rFonts w:ascii="Times New Roman" w:hAnsi="Times New Roman" w:cs="Times New Roman"/>
          <w:sz w:val="24"/>
          <w:szCs w:val="24"/>
        </w:rPr>
        <w:t>rd</w:t>
      </w:r>
      <w:proofErr w:type="spellEnd"/>
      <w:r w:rsidRPr="00912C1E">
        <w:rPr>
          <w:rFonts w:ascii="Times New Roman" w:hAnsi="Times New Roman" w:cs="Times New Roman"/>
          <w:sz w:val="24"/>
          <w:szCs w:val="24"/>
        </w:rPr>
        <w:t xml:space="preserve"> December, 2005 is issued in the name of plaintiff No.1. It is also stated in the said paragraph that on 8th January, 2001, the plaintiff No.2 and the plaintiff No.1 had entered into a Development Collaboration and Licensing Agreement (the </w:t>
      </w:r>
      <w:proofErr w:type="spellStart"/>
      <w:r w:rsidRPr="00912C1E">
        <w:rPr>
          <w:rFonts w:ascii="Times New Roman" w:hAnsi="Times New Roman" w:cs="Times New Roman"/>
          <w:sz w:val="24"/>
          <w:szCs w:val="24"/>
        </w:rPr>
        <w:t>Licence</w:t>
      </w:r>
      <w:proofErr w:type="spellEnd"/>
      <w:r w:rsidRPr="00912C1E">
        <w:rPr>
          <w:rFonts w:ascii="Times New Roman" w:hAnsi="Times New Roman" w:cs="Times New Roman"/>
          <w:sz w:val="24"/>
          <w:szCs w:val="24"/>
        </w:rPr>
        <w:t xml:space="preserve"> Agreement) wherein the plaintiff No.1 has a </w:t>
      </w:r>
      <w:proofErr w:type="spellStart"/>
      <w:r w:rsidRPr="00912C1E">
        <w:rPr>
          <w:rFonts w:ascii="Times New Roman" w:hAnsi="Times New Roman" w:cs="Times New Roman"/>
          <w:sz w:val="24"/>
          <w:szCs w:val="24"/>
        </w:rPr>
        <w:t>licence</w:t>
      </w:r>
      <w:proofErr w:type="spellEnd"/>
      <w:r w:rsidRPr="00912C1E">
        <w:rPr>
          <w:rFonts w:ascii="Times New Roman" w:hAnsi="Times New Roman" w:cs="Times New Roman"/>
          <w:sz w:val="24"/>
          <w:szCs w:val="24"/>
        </w:rPr>
        <w:t xml:space="preserve"> to use, sell and offer for sale the licensed products including the drug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which is the subject matter of the present suit. The plaintiff No.1 is further licensed and authorized to cause enforcement of any intellectual property rights for any of their products.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Under these circumstances, it is averred by the plaintiffs that the plaintiff No.1 is actively engaged in manufacture, marketing and sale of the innovative drug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xml:space="preserve">) in various countries including India. The plaintiff No.1 introduced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in India sometime in April 2006. The announcement regarding the launch of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by Roche Scientific Company (India) Pvt. Ltd., a wholly owned subsidiary of the Roche Group in India, was given wide publicity by the media inter alia in view of its importance in the cancer treatment.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case of the plaintiffs against the defendant is that the defendant is also engaged in manufacture and marketing of pharmaceutical and health care products in India and the plaintiffs had learnt that the defendant is involved in several actions for violation of intellectual property rights including patent rights as the plaintiffs noticed from various news reports appearing in the print as well as electronic media about the plans of the defendant to launch a generic version of the drug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in India and also for exporting the same to various countries. One of such reports appeared on 11th January, 2008 in an English daily ―Mint‖ published by the Hindustan Times Group and from the aforesaid report, for the first time the plaintiffs came to know about the plans of defendant to infringe and violate legal rights of the plaintiffs with regard to patent.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It is submitted that as the plaintiff No.2 and Pfizer Products Inc. are the registered owner of the patent in question and the drug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xml:space="preserve">) has been developed after a long and substantial research. The said invention is liable to be protected and no person other than the authorized person can be allowed to copy the same. The defendant in the present case with the unlawful manner is infringing the legal rights of the plaintiffs. Therefore, the plaintiffs had no other option but to initiate the appropriate remedy against the defendant for permanent restraining from manufacturing, selling, offering for sale, marketing, distributing in any manner the drug </w:t>
      </w:r>
      <w:proofErr w:type="spellStart"/>
      <w:r w:rsidRPr="00912C1E">
        <w:rPr>
          <w:rFonts w:ascii="Times New Roman" w:hAnsi="Times New Roman" w:cs="Times New Roman"/>
          <w:sz w:val="24"/>
          <w:szCs w:val="24"/>
        </w:rPr>
        <w:t>Tarceva</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Erlotinib</w:t>
      </w:r>
      <w:proofErr w:type="spellEnd"/>
      <w:r w:rsidRPr="00912C1E">
        <w:rPr>
          <w:rFonts w:ascii="Times New Roman" w:hAnsi="Times New Roman" w:cs="Times New Roman"/>
          <w:sz w:val="24"/>
          <w:szCs w:val="24"/>
        </w:rPr>
        <w:t>) or any other generic version of the said drug. The prayer is also sought by the plaintiffs to direct the defendant to render all accounts in relation to such infringing activities as well as to give damages to the plaintiffs from the defendant inter alia for violation of their legal rights.</w:t>
      </w:r>
    </w:p>
    <w:p w:rsidR="000B26A4" w:rsidRDefault="000B26A4" w:rsidP="00912C1E">
      <w:pPr>
        <w:spacing w:after="0"/>
        <w:jc w:val="both"/>
        <w:rPr>
          <w:rFonts w:ascii="Times New Roman" w:hAnsi="Times New Roman" w:cs="Times New Roman"/>
          <w:sz w:val="24"/>
          <w:szCs w:val="24"/>
        </w:rPr>
      </w:pPr>
    </w:p>
    <w:p w:rsidR="000B26A4" w:rsidRDefault="000B26A4" w:rsidP="00912C1E">
      <w:pPr>
        <w:spacing w:after="0"/>
        <w:jc w:val="both"/>
        <w:rPr>
          <w:rFonts w:ascii="Times New Roman" w:hAnsi="Times New Roman" w:cs="Times New Roman"/>
          <w:sz w:val="24"/>
          <w:szCs w:val="24"/>
        </w:rPr>
      </w:pPr>
    </w:p>
    <w:p w:rsidR="000B26A4" w:rsidRDefault="000B26A4"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lastRenderedPageBreak/>
        <w:t>OBSERVATIONS BY THE HONOURABLE COURT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As there are number of arguments and grounds raised by the parties in relation to the concept of lack of inventive step, persons skilled in the art and thereafter while making the submissions, the terminologies are transposed with the ones laid down in US judgments and English judgments suitably as per the convenience of the parties by contending that the said person is one who is an ―</w:t>
      </w:r>
      <w:proofErr w:type="spellStart"/>
      <w:r w:rsidRPr="00912C1E">
        <w:rPr>
          <w:rFonts w:ascii="Times New Roman" w:hAnsi="Times New Roman" w:cs="Times New Roman"/>
          <w:sz w:val="24"/>
          <w:szCs w:val="24"/>
        </w:rPr>
        <w:t>unimaginary</w:t>
      </w:r>
      <w:proofErr w:type="spellEnd"/>
      <w:r w:rsidRPr="00912C1E">
        <w:rPr>
          <w:rFonts w:ascii="Times New Roman" w:hAnsi="Times New Roman" w:cs="Times New Roman"/>
          <w:sz w:val="24"/>
          <w:szCs w:val="24"/>
        </w:rPr>
        <w:t xml:space="preserve"> person‖ or for that matter what ―motivated‖ the inventor to choose any structure as lead compound and various other facets which are laid down as tests in such judgments are being imported in order to satisfy this Court, I think it is necessary to discuss the patent law as governing in India in form of Patents Act 1970 in order to find out the true test on basis of which the obviousness or inventive step in the patent is required to be tested.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On the bare reading of the Sections, it is clear that the definition of ―inventive step‖ nowhere accords any differential treatment to any particular type of invention. Rather, it lays down the general test which is indicative towards technological advancement and the </w:t>
      </w:r>
      <w:proofErr w:type="spellStart"/>
      <w:r w:rsidRPr="00912C1E">
        <w:rPr>
          <w:rFonts w:ascii="Times New Roman" w:hAnsi="Times New Roman" w:cs="Times New Roman"/>
          <w:sz w:val="24"/>
          <w:szCs w:val="24"/>
        </w:rPr>
        <w:t>non obviousness</w:t>
      </w:r>
      <w:proofErr w:type="spellEnd"/>
      <w:r w:rsidRPr="00912C1E">
        <w:rPr>
          <w:rFonts w:ascii="Times New Roman" w:hAnsi="Times New Roman" w:cs="Times New Roman"/>
          <w:sz w:val="24"/>
          <w:szCs w:val="24"/>
        </w:rPr>
        <w:t xml:space="preserve"> of an invention to a person skilled in art. Besides the same, the said definition of inventive step u/s 2(</w:t>
      </w:r>
      <w:proofErr w:type="spellStart"/>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which has been newly inserted in the Patents Act (Amendment) 2005 once read with grounds of revocation u/s 64 nowhere indicate any special treatment or different tests to be applied for any particular type of invention more specifically medicinal, chemical, industrial, etc.</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On conjoint reading of the Section 64 read with Section 2(</w:t>
      </w:r>
      <w:proofErr w:type="spellStart"/>
      <w:proofErr w:type="gramStart"/>
      <w:r w:rsidRPr="00912C1E">
        <w:rPr>
          <w:rFonts w:ascii="Times New Roman" w:hAnsi="Times New Roman" w:cs="Times New Roman"/>
          <w:sz w:val="24"/>
          <w:szCs w:val="24"/>
        </w:rPr>
        <w:t>ja</w:t>
      </w:r>
      <w:proofErr w:type="spellEnd"/>
      <w:proofErr w:type="gramEnd"/>
      <w:r w:rsidRPr="00912C1E">
        <w:rPr>
          <w:rFonts w:ascii="Times New Roman" w:hAnsi="Times New Roman" w:cs="Times New Roman"/>
          <w:sz w:val="24"/>
          <w:szCs w:val="24"/>
        </w:rPr>
        <w:t>), it is clearly discernible that there are certain essential ingredients of Section 2(</w:t>
      </w:r>
      <w:proofErr w:type="spellStart"/>
      <w:r w:rsidRPr="00912C1E">
        <w:rPr>
          <w:rFonts w:ascii="Times New Roman" w:hAnsi="Times New Roman" w:cs="Times New Roman"/>
          <w:sz w:val="24"/>
          <w:szCs w:val="24"/>
        </w:rPr>
        <w:t>ja</w:t>
      </w:r>
      <w:proofErr w:type="spellEnd"/>
      <w:r w:rsidRPr="00912C1E">
        <w:rPr>
          <w:rFonts w:ascii="Times New Roman" w:hAnsi="Times New Roman" w:cs="Times New Roman"/>
          <w:sz w:val="24"/>
          <w:szCs w:val="24"/>
        </w:rPr>
        <w:t>) in order to call any invention to qualify the threshold of inventive step. The said ingredients are:-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That the said invention involves a technical advancement as compared to existing knowledge or economic significance or both;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 That makes the invention non obvious to the persons skilled in art.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These are conjunctive requirements u/s 2(</w:t>
      </w:r>
      <w:proofErr w:type="spellStart"/>
      <w:proofErr w:type="gramStart"/>
      <w:r w:rsidRPr="00912C1E">
        <w:rPr>
          <w:rFonts w:ascii="Times New Roman" w:hAnsi="Times New Roman" w:cs="Times New Roman"/>
          <w:sz w:val="24"/>
          <w:szCs w:val="24"/>
        </w:rPr>
        <w:t>ja</w:t>
      </w:r>
      <w:proofErr w:type="spellEnd"/>
      <w:proofErr w:type="gramEnd"/>
      <w:r w:rsidRPr="00912C1E">
        <w:rPr>
          <w:rFonts w:ascii="Times New Roman" w:hAnsi="Times New Roman" w:cs="Times New Roman"/>
          <w:sz w:val="24"/>
          <w:szCs w:val="24"/>
        </w:rPr>
        <w:t>) which means that not merely there should be a technical advancement in the invention but at the same time, it should not be obvious to the person skilled in art. Therefore, both the requirements are to be satisfied conjunctively. It is noteworthy here again that beyond the said two ingredients, there is no further ingredient which should be read into in order to enlarge or limit the scope of the Section.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Consequently, what follows from the above discussion is that as per the provision of Patents Act there is nothing which is indicative of the fact that any stricter approach is to be followed while testing the patents relating to chemical compounds due to any reason whatsoever including that the patent relates to chemical compounds which are preexisting in the field and therefore some departed approach unlike other kinds of patents may be followed in order to adjudicate upon the obviousness relating to chemical compounds or medicinal patent be it product or process.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One has to travel not very far in order to understand the test relating to obviousness which has been minutely discussed by the Supreme Court of India in the case of </w:t>
      </w:r>
      <w:proofErr w:type="spellStart"/>
      <w:r w:rsidRPr="00912C1E">
        <w:rPr>
          <w:rFonts w:ascii="Times New Roman" w:hAnsi="Times New Roman" w:cs="Times New Roman"/>
          <w:sz w:val="24"/>
          <w:szCs w:val="24"/>
        </w:rPr>
        <w:t>Biswanath</w:t>
      </w:r>
      <w:proofErr w:type="spellEnd"/>
      <w:r w:rsidRPr="00912C1E">
        <w:rPr>
          <w:rFonts w:ascii="Times New Roman" w:hAnsi="Times New Roman" w:cs="Times New Roman"/>
          <w:sz w:val="24"/>
          <w:szCs w:val="24"/>
        </w:rPr>
        <w:t xml:space="preserve"> Prasad </w:t>
      </w:r>
      <w:proofErr w:type="spellStart"/>
      <w:r w:rsidRPr="00912C1E">
        <w:rPr>
          <w:rFonts w:ascii="Times New Roman" w:hAnsi="Times New Roman" w:cs="Times New Roman"/>
          <w:sz w:val="24"/>
          <w:szCs w:val="24"/>
        </w:rPr>
        <w:t>Radhey</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Shyam</w:t>
      </w:r>
      <w:proofErr w:type="spellEnd"/>
      <w:r w:rsidRPr="00912C1E">
        <w:rPr>
          <w:rFonts w:ascii="Times New Roman" w:hAnsi="Times New Roman" w:cs="Times New Roman"/>
          <w:sz w:val="24"/>
          <w:szCs w:val="24"/>
        </w:rPr>
        <w:t xml:space="preserve"> </w:t>
      </w:r>
      <w:proofErr w:type="spellStart"/>
      <w:r w:rsidRPr="00912C1E">
        <w:rPr>
          <w:rFonts w:ascii="Times New Roman" w:hAnsi="Times New Roman" w:cs="Times New Roman"/>
          <w:sz w:val="24"/>
          <w:szCs w:val="24"/>
        </w:rPr>
        <w:t>vs</w:t>
      </w:r>
      <w:proofErr w:type="spellEnd"/>
      <w:r w:rsidRPr="00912C1E">
        <w:rPr>
          <w:rFonts w:ascii="Times New Roman" w:hAnsi="Times New Roman" w:cs="Times New Roman"/>
          <w:sz w:val="24"/>
          <w:szCs w:val="24"/>
        </w:rPr>
        <w:t xml:space="preserve"> Hindustan Metal Industries cited as AIR 1982 SC 1444, which is a Three Judges Bench decision. In the said judgment, tests of patentability are discussed in </w:t>
      </w:r>
      <w:proofErr w:type="spellStart"/>
      <w:r w:rsidRPr="00912C1E">
        <w:rPr>
          <w:rFonts w:ascii="Times New Roman" w:hAnsi="Times New Roman" w:cs="Times New Roman"/>
          <w:sz w:val="24"/>
          <w:szCs w:val="24"/>
        </w:rPr>
        <w:t>extenso</w:t>
      </w:r>
      <w:proofErr w:type="spellEnd"/>
      <w:r w:rsidRPr="00912C1E">
        <w:rPr>
          <w:rFonts w:ascii="Times New Roman" w:hAnsi="Times New Roman" w:cs="Times New Roman"/>
          <w:sz w:val="24"/>
          <w:szCs w:val="24"/>
        </w:rPr>
        <w:t xml:space="preserve"> and the expressions used under the Patents Act which has been defined and discussed thoroughly including the expression ―inventive step‖. The said judgment is a landmark judgment followed by the Courts across the country and is still holding the field till date and </w:t>
      </w:r>
      <w:r w:rsidRPr="00912C1E">
        <w:rPr>
          <w:rFonts w:ascii="Times New Roman" w:hAnsi="Times New Roman" w:cs="Times New Roman"/>
          <w:sz w:val="24"/>
          <w:szCs w:val="24"/>
        </w:rPr>
        <w:lastRenderedPageBreak/>
        <w:t xml:space="preserve">all the matters relating to Patent infringement are decided on the basis of the tests carved out in said case of </w:t>
      </w:r>
      <w:proofErr w:type="spellStart"/>
      <w:r w:rsidRPr="00912C1E">
        <w:rPr>
          <w:rFonts w:ascii="Times New Roman" w:hAnsi="Times New Roman" w:cs="Times New Roman"/>
          <w:sz w:val="24"/>
          <w:szCs w:val="24"/>
        </w:rPr>
        <w:t>Biswanath</w:t>
      </w:r>
      <w:proofErr w:type="spellEnd"/>
      <w:r w:rsidRPr="00912C1E">
        <w:rPr>
          <w:rFonts w:ascii="Times New Roman" w:hAnsi="Times New Roman" w:cs="Times New Roman"/>
          <w:sz w:val="24"/>
          <w:szCs w:val="24"/>
        </w:rPr>
        <w:t xml:space="preserve"> </w:t>
      </w:r>
      <w:proofErr w:type="gramStart"/>
      <w:r w:rsidRPr="00912C1E">
        <w:rPr>
          <w:rFonts w:ascii="Times New Roman" w:hAnsi="Times New Roman" w:cs="Times New Roman"/>
          <w:sz w:val="24"/>
          <w:szCs w:val="24"/>
        </w:rPr>
        <w:t>Prasad(</w:t>
      </w:r>
      <w:proofErr w:type="gramEnd"/>
      <w:r w:rsidRPr="00912C1E">
        <w:rPr>
          <w:rFonts w:ascii="Times New Roman" w:hAnsi="Times New Roman" w:cs="Times New Roman"/>
          <w:sz w:val="24"/>
          <w:szCs w:val="24"/>
        </w:rPr>
        <w:t>supra) till date without any departure.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It is further noteworthy that in the said case too, a decision was rendered after trial culminating into the final adjudication. The said case and the observations made therein by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Supreme Court of India gains more importance due the said reason also as I am proposing to decide this case finally. In the said case of </w:t>
      </w:r>
      <w:proofErr w:type="spellStart"/>
      <w:r w:rsidRPr="00912C1E">
        <w:rPr>
          <w:rFonts w:ascii="Times New Roman" w:hAnsi="Times New Roman" w:cs="Times New Roman"/>
          <w:sz w:val="24"/>
          <w:szCs w:val="24"/>
        </w:rPr>
        <w:t>Biswanath</w:t>
      </w:r>
      <w:proofErr w:type="spellEnd"/>
      <w:r w:rsidRPr="00912C1E">
        <w:rPr>
          <w:rFonts w:ascii="Times New Roman" w:hAnsi="Times New Roman" w:cs="Times New Roman"/>
          <w:sz w:val="24"/>
          <w:szCs w:val="24"/>
        </w:rPr>
        <w:t xml:space="preserve"> Prasad (supra),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Supreme Court has laid down the test as to what constitutes inventive step. In the words of </w:t>
      </w:r>
      <w:proofErr w:type="spellStart"/>
      <w:r w:rsidRPr="00912C1E">
        <w:rPr>
          <w:rFonts w:ascii="Times New Roman" w:hAnsi="Times New Roman" w:cs="Times New Roman"/>
          <w:sz w:val="24"/>
          <w:szCs w:val="24"/>
        </w:rPr>
        <w:t>Hon'ble</w:t>
      </w:r>
      <w:proofErr w:type="spellEnd"/>
      <w:r w:rsidRPr="00912C1E">
        <w:rPr>
          <w:rFonts w:ascii="Times New Roman" w:hAnsi="Times New Roman" w:cs="Times New Roman"/>
          <w:sz w:val="24"/>
          <w:szCs w:val="24"/>
        </w:rPr>
        <w:t xml:space="preserve"> Supreme Court of India it was observed thus:-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Whether an alleged invention involves novelty and an 'inventive </w:t>
      </w:r>
      <w:proofErr w:type="gramStart"/>
      <w:r w:rsidRPr="00912C1E">
        <w:rPr>
          <w:rFonts w:ascii="Times New Roman" w:hAnsi="Times New Roman" w:cs="Times New Roman"/>
          <w:sz w:val="24"/>
          <w:szCs w:val="24"/>
        </w:rPr>
        <w:t>step',</w:t>
      </w:r>
      <w:proofErr w:type="gramEnd"/>
      <w:r w:rsidRPr="00912C1E">
        <w:rPr>
          <w:rFonts w:ascii="Times New Roman" w:hAnsi="Times New Roman" w:cs="Times New Roman"/>
          <w:sz w:val="24"/>
          <w:szCs w:val="24"/>
        </w:rPr>
        <w:t xml:space="preserve"> is a mixed question of law and fact, depending largely on the circumstances of the case. Although no absolute test uniformly applicable in all circumstances can be devised, certain broad criteria can be indicated. Whether the "manner of manufacture" patented, was publicly known, used and </w:t>
      </w:r>
      <w:proofErr w:type="spellStart"/>
      <w:r w:rsidRPr="00912C1E">
        <w:rPr>
          <w:rFonts w:ascii="Times New Roman" w:hAnsi="Times New Roman" w:cs="Times New Roman"/>
          <w:sz w:val="24"/>
          <w:szCs w:val="24"/>
        </w:rPr>
        <w:t>practised</w:t>
      </w:r>
      <w:proofErr w:type="spellEnd"/>
      <w:r w:rsidRPr="00912C1E">
        <w:rPr>
          <w:rFonts w:ascii="Times New Roman" w:hAnsi="Times New Roman" w:cs="Times New Roman"/>
          <w:sz w:val="24"/>
          <w:szCs w:val="24"/>
        </w:rPr>
        <w:t xml:space="preserve"> in the country before or at the date of the </w:t>
      </w:r>
      <w:proofErr w:type="gramStart"/>
      <w:r w:rsidRPr="00912C1E">
        <w:rPr>
          <w:rFonts w:ascii="Times New Roman" w:hAnsi="Times New Roman" w:cs="Times New Roman"/>
          <w:sz w:val="24"/>
          <w:szCs w:val="24"/>
        </w:rPr>
        <w:t>patent ?</w:t>
      </w:r>
      <w:proofErr w:type="gramEnd"/>
      <w:r w:rsidRPr="00912C1E">
        <w:rPr>
          <w:rFonts w:ascii="Times New Roman" w:hAnsi="Times New Roman" w:cs="Times New Roman"/>
          <w:sz w:val="24"/>
          <w:szCs w:val="24"/>
        </w:rPr>
        <w:t xml:space="preserve"> If the answer to this question is 'yes', it will negative novelty or 'subject matter'. Prior public knowledge of the alleged invention which would disqualify the grant of a patent can be by word of mouth or by publication through books or other media. "If the public once becomes possessed of an invention", says </w:t>
      </w:r>
      <w:proofErr w:type="spellStart"/>
      <w:r w:rsidRPr="00912C1E">
        <w:rPr>
          <w:rFonts w:ascii="Times New Roman" w:hAnsi="Times New Roman" w:cs="Times New Roman"/>
          <w:sz w:val="24"/>
          <w:szCs w:val="24"/>
        </w:rPr>
        <w:t>Hindmarch</w:t>
      </w:r>
      <w:proofErr w:type="spellEnd"/>
      <w:r w:rsidRPr="00912C1E">
        <w:rPr>
          <w:rFonts w:ascii="Times New Roman" w:hAnsi="Times New Roman" w:cs="Times New Roman"/>
          <w:sz w:val="24"/>
          <w:szCs w:val="24"/>
        </w:rPr>
        <w:t xml:space="preserve"> on Patents (quoted with approval by Fry L. J. in </w:t>
      </w:r>
      <w:proofErr w:type="spellStart"/>
      <w:r w:rsidRPr="00912C1E">
        <w:rPr>
          <w:rFonts w:ascii="Times New Roman" w:hAnsi="Times New Roman" w:cs="Times New Roman"/>
          <w:sz w:val="24"/>
          <w:szCs w:val="24"/>
        </w:rPr>
        <w:t>Humpherson</w:t>
      </w:r>
      <w:proofErr w:type="spellEnd"/>
      <w:r w:rsidRPr="00912C1E">
        <w:rPr>
          <w:rFonts w:ascii="Times New Roman" w:hAnsi="Times New Roman" w:cs="Times New Roman"/>
          <w:sz w:val="24"/>
          <w:szCs w:val="24"/>
        </w:rPr>
        <w:t xml:space="preserve"> v. </w:t>
      </w:r>
      <w:proofErr w:type="spellStart"/>
      <w:r w:rsidRPr="00912C1E">
        <w:rPr>
          <w:rFonts w:ascii="Times New Roman" w:hAnsi="Times New Roman" w:cs="Times New Roman"/>
          <w:sz w:val="24"/>
          <w:szCs w:val="24"/>
        </w:rPr>
        <w:t>Syer</w:t>
      </w:r>
      <w:proofErr w:type="spellEnd"/>
      <w:r w:rsidRPr="00912C1E">
        <w:rPr>
          <w:rFonts w:ascii="Times New Roman" w:hAnsi="Times New Roman" w:cs="Times New Roman"/>
          <w:sz w:val="24"/>
          <w:szCs w:val="24"/>
        </w:rPr>
        <w:t xml:space="preserve">, "by any means whatsoever, no subsequent patent for it can be granted either to the true or first inventor himself or any other person; for the public cannot be deprived of the right to use the invention........ </w:t>
      </w:r>
      <w:proofErr w:type="gramStart"/>
      <w:r w:rsidRPr="00912C1E">
        <w:rPr>
          <w:rFonts w:ascii="Times New Roman" w:hAnsi="Times New Roman" w:cs="Times New Roman"/>
          <w:sz w:val="24"/>
          <w:szCs w:val="24"/>
        </w:rPr>
        <w:t>the</w:t>
      </w:r>
      <w:proofErr w:type="gramEnd"/>
      <w:r w:rsidRPr="00912C1E">
        <w:rPr>
          <w:rFonts w:ascii="Times New Roman" w:hAnsi="Times New Roman" w:cs="Times New Roman"/>
          <w:sz w:val="24"/>
          <w:szCs w:val="24"/>
        </w:rPr>
        <w:t xml:space="preserve"> public already possessing everything that he could give."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expression "does not involve any inventive step" used in Section 26(1) (a) of the Act and its equivalent word "obvious", have acquired special significance in the terminology of Patent Law. The 'obviousness' has to be strictly and objectively judged. For this determination several forms of the question have been suggested. The one suggested by </w:t>
      </w:r>
      <w:proofErr w:type="spellStart"/>
      <w:r w:rsidRPr="00912C1E">
        <w:rPr>
          <w:rFonts w:ascii="Times New Roman" w:hAnsi="Times New Roman" w:cs="Times New Roman"/>
          <w:sz w:val="24"/>
          <w:szCs w:val="24"/>
        </w:rPr>
        <w:t>Salmond</w:t>
      </w:r>
      <w:proofErr w:type="spellEnd"/>
      <w:r w:rsidRPr="00912C1E">
        <w:rPr>
          <w:rFonts w:ascii="Times New Roman" w:hAnsi="Times New Roman" w:cs="Times New Roman"/>
          <w:sz w:val="24"/>
          <w:szCs w:val="24"/>
        </w:rPr>
        <w:t xml:space="preserve"> L. J. in </w:t>
      </w:r>
      <w:proofErr w:type="spellStart"/>
      <w:r w:rsidRPr="00912C1E">
        <w:rPr>
          <w:rFonts w:ascii="Times New Roman" w:hAnsi="Times New Roman" w:cs="Times New Roman"/>
          <w:sz w:val="24"/>
          <w:szCs w:val="24"/>
        </w:rPr>
        <w:t>Rado</w:t>
      </w:r>
      <w:proofErr w:type="spellEnd"/>
      <w:r w:rsidRPr="00912C1E">
        <w:rPr>
          <w:rFonts w:ascii="Times New Roman" w:hAnsi="Times New Roman" w:cs="Times New Roman"/>
          <w:sz w:val="24"/>
          <w:szCs w:val="24"/>
        </w:rPr>
        <w:t xml:space="preserve"> v. John </w:t>
      </w:r>
      <w:proofErr w:type="spellStart"/>
      <w:r w:rsidRPr="00912C1E">
        <w:rPr>
          <w:rFonts w:ascii="Times New Roman" w:hAnsi="Times New Roman" w:cs="Times New Roman"/>
          <w:sz w:val="24"/>
          <w:szCs w:val="24"/>
        </w:rPr>
        <w:t>Tye</w:t>
      </w:r>
      <w:proofErr w:type="spellEnd"/>
      <w:r w:rsidRPr="00912C1E">
        <w:rPr>
          <w:rFonts w:ascii="Times New Roman" w:hAnsi="Times New Roman" w:cs="Times New Roman"/>
          <w:sz w:val="24"/>
          <w:szCs w:val="24"/>
        </w:rPr>
        <w:t xml:space="preserve"> &amp; Son Ltd. is apposite. It is: "Whether the alleged discovery lies so much out of the Track of what was known before as not naturally to suggest itself to a person thinking on the subject, it must not be the obvious or natural suggestion of what was previously known." (Emphasis Supplied)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Another test of whether a document is a publication which would negative existence of novelty or an "inventive step" is suggested, as under:</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"Had the document been placed in the hands of a competent craftsman (or engineer as distinguished from a mere artisan), endowed with the common general knowledge at the 'priority date', who was faced with the problem solved by the patentee but without knowledge of the patented invention, would he have said, "this gives me what I want?" </w:t>
      </w:r>
      <w:proofErr w:type="gramStart"/>
      <w:r w:rsidRPr="00912C1E">
        <w:rPr>
          <w:rFonts w:ascii="Times New Roman" w:hAnsi="Times New Roman" w:cs="Times New Roman"/>
          <w:sz w:val="24"/>
          <w:szCs w:val="24"/>
        </w:rPr>
        <w:t>(</w:t>
      </w:r>
      <w:proofErr w:type="spellStart"/>
      <w:r w:rsidRPr="00912C1E">
        <w:rPr>
          <w:rFonts w:ascii="Times New Roman" w:hAnsi="Times New Roman" w:cs="Times New Roman"/>
          <w:sz w:val="24"/>
          <w:szCs w:val="24"/>
        </w:rPr>
        <w:t>Encyclopaedia</w:t>
      </w:r>
      <w:proofErr w:type="spellEnd"/>
      <w:r w:rsidRPr="00912C1E">
        <w:rPr>
          <w:rFonts w:ascii="Times New Roman" w:hAnsi="Times New Roman" w:cs="Times New Roman"/>
          <w:sz w:val="24"/>
          <w:szCs w:val="24"/>
        </w:rPr>
        <w:t xml:space="preserve"> Britannica; ibid).</w:t>
      </w:r>
      <w:proofErr w:type="gramEnd"/>
      <w:r w:rsidRPr="00912C1E">
        <w:rPr>
          <w:rFonts w:ascii="Times New Roman" w:hAnsi="Times New Roman" w:cs="Times New Roman"/>
          <w:sz w:val="24"/>
          <w:szCs w:val="24"/>
        </w:rPr>
        <w:t xml:space="preserve"> To put it in another form: "Was it for practical purposes obvious to a skilled worker, in the field concerned, in the state of knowledge existing at the date of the patent to be found in the literature then available to him, that he would or should make the invention the subject of the claim concerned ?" </w:t>
      </w:r>
      <w:proofErr w:type="spellStart"/>
      <w:r w:rsidRPr="00912C1E">
        <w:rPr>
          <w:rFonts w:ascii="Times New Roman" w:hAnsi="Times New Roman" w:cs="Times New Roman"/>
          <w:sz w:val="24"/>
          <w:szCs w:val="24"/>
        </w:rPr>
        <w:t>Halsbury</w:t>
      </w:r>
      <w:proofErr w:type="spellEnd"/>
      <w:r w:rsidRPr="00912C1E">
        <w:rPr>
          <w:rFonts w:ascii="Times New Roman" w:hAnsi="Times New Roman" w:cs="Times New Roman"/>
          <w:sz w:val="24"/>
          <w:szCs w:val="24"/>
        </w:rPr>
        <w:t xml:space="preserve">, 3rd </w:t>
      </w:r>
      <w:proofErr w:type="spellStart"/>
      <w:r w:rsidRPr="00912C1E">
        <w:rPr>
          <w:rFonts w:ascii="Times New Roman" w:hAnsi="Times New Roman" w:cs="Times New Roman"/>
          <w:sz w:val="24"/>
          <w:szCs w:val="24"/>
        </w:rPr>
        <w:t>Edn</w:t>
      </w:r>
      <w:proofErr w:type="spellEnd"/>
      <w:r w:rsidRPr="00912C1E">
        <w:rPr>
          <w:rFonts w:ascii="Times New Roman" w:hAnsi="Times New Roman" w:cs="Times New Roman"/>
          <w:sz w:val="24"/>
          <w:szCs w:val="24"/>
        </w:rPr>
        <w:t xml:space="preserve">, Vol. 29, p. 42 referred to by </w:t>
      </w:r>
      <w:proofErr w:type="spellStart"/>
      <w:r w:rsidRPr="00912C1E">
        <w:rPr>
          <w:rFonts w:ascii="Times New Roman" w:hAnsi="Times New Roman" w:cs="Times New Roman"/>
          <w:sz w:val="24"/>
          <w:szCs w:val="24"/>
        </w:rPr>
        <w:t>Vimadalal</w:t>
      </w:r>
      <w:proofErr w:type="spellEnd"/>
      <w:r w:rsidRPr="00912C1E">
        <w:rPr>
          <w:rFonts w:ascii="Times New Roman" w:hAnsi="Times New Roman" w:cs="Times New Roman"/>
          <w:sz w:val="24"/>
          <w:szCs w:val="24"/>
        </w:rPr>
        <w:t xml:space="preserve"> J. of Bombay High Court in </w:t>
      </w:r>
      <w:proofErr w:type="spellStart"/>
      <w:r w:rsidRPr="00912C1E">
        <w:rPr>
          <w:rFonts w:ascii="Times New Roman" w:hAnsi="Times New Roman" w:cs="Times New Roman"/>
          <w:sz w:val="24"/>
          <w:szCs w:val="24"/>
        </w:rPr>
        <w:t>Farbwrke</w:t>
      </w:r>
      <w:proofErr w:type="spellEnd"/>
      <w:r w:rsidRPr="00912C1E">
        <w:rPr>
          <w:rFonts w:ascii="Times New Roman" w:hAnsi="Times New Roman" w:cs="Times New Roman"/>
          <w:sz w:val="24"/>
          <w:szCs w:val="24"/>
        </w:rPr>
        <w:t xml:space="preserve"> Hoechst &amp; B. Corporation v. </w:t>
      </w:r>
      <w:proofErr w:type="spellStart"/>
      <w:r w:rsidRPr="00912C1E">
        <w:rPr>
          <w:rFonts w:ascii="Times New Roman" w:hAnsi="Times New Roman" w:cs="Times New Roman"/>
          <w:sz w:val="24"/>
          <w:szCs w:val="24"/>
        </w:rPr>
        <w:t>Unichem</w:t>
      </w:r>
      <w:proofErr w:type="spellEnd"/>
      <w:r w:rsidRPr="00912C1E">
        <w:rPr>
          <w:rFonts w:ascii="Times New Roman" w:hAnsi="Times New Roman" w:cs="Times New Roman"/>
          <w:sz w:val="24"/>
          <w:szCs w:val="24"/>
        </w:rPr>
        <w:t xml:space="preserve"> Laboratories.‖ (Emphasis Supplied)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The chain of events which are necessary for the purposes of finding obviousness in relation to selection of chemical compounds from the larger formula or molecule are discussed in the book titled as "The Modern Law of Patents" by </w:t>
      </w:r>
      <w:proofErr w:type="spellStart"/>
      <w:r w:rsidRPr="00912C1E">
        <w:rPr>
          <w:rFonts w:ascii="Times New Roman" w:hAnsi="Times New Roman" w:cs="Times New Roman"/>
          <w:sz w:val="24"/>
          <w:szCs w:val="24"/>
        </w:rPr>
        <w:t>Roughton</w:t>
      </w:r>
      <w:proofErr w:type="spellEnd"/>
      <w:r w:rsidRPr="00912C1E">
        <w:rPr>
          <w:rFonts w:ascii="Times New Roman" w:hAnsi="Times New Roman" w:cs="Times New Roman"/>
          <w:sz w:val="24"/>
          <w:szCs w:val="24"/>
        </w:rPr>
        <w:t xml:space="preserve">, Johnson, Cook &amp; </w:t>
      </w:r>
      <w:proofErr w:type="spellStart"/>
      <w:r w:rsidRPr="00912C1E">
        <w:rPr>
          <w:rFonts w:ascii="Times New Roman" w:hAnsi="Times New Roman" w:cs="Times New Roman"/>
          <w:sz w:val="24"/>
          <w:szCs w:val="24"/>
        </w:rPr>
        <w:t>Fysh</w:t>
      </w:r>
      <w:proofErr w:type="spellEnd"/>
      <w:r w:rsidRPr="00912C1E">
        <w:rPr>
          <w:rFonts w:ascii="Times New Roman" w:hAnsi="Times New Roman" w:cs="Times New Roman"/>
          <w:sz w:val="24"/>
          <w:szCs w:val="24"/>
        </w:rPr>
        <w:t xml:space="preserve">, 2011 </w:t>
      </w:r>
      <w:r w:rsidRPr="00912C1E">
        <w:rPr>
          <w:rFonts w:ascii="Times New Roman" w:hAnsi="Times New Roman" w:cs="Times New Roman"/>
          <w:sz w:val="24"/>
          <w:szCs w:val="24"/>
        </w:rPr>
        <w:lastRenderedPageBreak/>
        <w:t xml:space="preserve">Edition, (Lexis </w:t>
      </w:r>
      <w:proofErr w:type="spellStart"/>
      <w:r w:rsidRPr="00912C1E">
        <w:rPr>
          <w:rFonts w:ascii="Times New Roman" w:hAnsi="Times New Roman" w:cs="Times New Roman"/>
          <w:sz w:val="24"/>
          <w:szCs w:val="24"/>
        </w:rPr>
        <w:t>Nexis</w:t>
      </w:r>
      <w:proofErr w:type="spellEnd"/>
      <w:r w:rsidRPr="00912C1E">
        <w:rPr>
          <w:rFonts w:ascii="Times New Roman" w:hAnsi="Times New Roman" w:cs="Times New Roman"/>
          <w:sz w:val="24"/>
          <w:szCs w:val="24"/>
        </w:rPr>
        <w:t>), wherein the learned author quotes an authority from European Patent office. The learned author observed thus:</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―2.125 In T279/89 </w:t>
      </w:r>
      <w:proofErr w:type="spellStart"/>
      <w:r w:rsidRPr="00912C1E">
        <w:rPr>
          <w:rFonts w:ascii="Times New Roman" w:hAnsi="Times New Roman" w:cs="Times New Roman"/>
          <w:sz w:val="24"/>
          <w:szCs w:val="24"/>
        </w:rPr>
        <w:t>Moulded</w:t>
      </w:r>
      <w:proofErr w:type="spellEnd"/>
      <w:r w:rsidRPr="00912C1E">
        <w:rPr>
          <w:rFonts w:ascii="Times New Roman" w:hAnsi="Times New Roman" w:cs="Times New Roman"/>
          <w:sz w:val="24"/>
          <w:szCs w:val="24"/>
        </w:rPr>
        <w:t xml:space="preserve"> polyurethane elastomers/ Texaco, the Board of Appeal gave some practical requirements which must be satisfied for a selection invention to be novel, in particular:</w:t>
      </w:r>
    </w:p>
    <w:p w:rsidR="00912C1E" w:rsidRPr="00912C1E" w:rsidRDefault="00912C1E" w:rsidP="00912C1E">
      <w:pPr>
        <w:spacing w:after="0"/>
        <w:jc w:val="both"/>
        <w:rPr>
          <w:rFonts w:ascii="Times New Roman" w:hAnsi="Times New Roman" w:cs="Times New Roman"/>
          <w:sz w:val="24"/>
          <w:szCs w:val="24"/>
        </w:rPr>
      </w:pP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The selection invention or range should be narrow.</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 The selection invention or range should be sufficiently far removed from the known range illustrated by means of the examples.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(c) The selected area should not provide an arbitrary specimen from the prior art, is not mere embodiment of the prior description but another invention (purposive selection) (In T279/89 </w:t>
      </w:r>
      <w:proofErr w:type="spellStart"/>
      <w:r w:rsidRPr="00912C1E">
        <w:rPr>
          <w:rFonts w:ascii="Times New Roman" w:hAnsi="Times New Roman" w:cs="Times New Roman"/>
          <w:sz w:val="24"/>
          <w:szCs w:val="24"/>
        </w:rPr>
        <w:t>Moulded</w:t>
      </w:r>
      <w:proofErr w:type="spellEnd"/>
      <w:r w:rsidRPr="00912C1E">
        <w:rPr>
          <w:rFonts w:ascii="Times New Roman" w:hAnsi="Times New Roman" w:cs="Times New Roman"/>
          <w:sz w:val="24"/>
          <w:szCs w:val="24"/>
        </w:rPr>
        <w:t xml:space="preserve"> polyurethane elastomers/ Texaco (unpublished*) 9th July 1991 at (r 4.1); this test was based on the earlier decision T198/84 </w:t>
      </w:r>
      <w:proofErr w:type="spellStart"/>
      <w:r w:rsidRPr="00912C1E">
        <w:rPr>
          <w:rFonts w:ascii="Times New Roman" w:hAnsi="Times New Roman" w:cs="Times New Roman"/>
          <w:sz w:val="24"/>
          <w:szCs w:val="24"/>
        </w:rPr>
        <w:t>Thiochloroformiates</w:t>
      </w:r>
      <w:proofErr w:type="spellEnd"/>
      <w:r w:rsidRPr="00912C1E">
        <w:rPr>
          <w:rFonts w:ascii="Times New Roman" w:hAnsi="Times New Roman" w:cs="Times New Roman"/>
          <w:sz w:val="24"/>
          <w:szCs w:val="24"/>
        </w:rPr>
        <w:t xml:space="preserve">/ Hoechst, (1985) OJ EPO 209)‖ ―2.126 the meaning of ―narrow‖ and ―sufficiently far removed‖ in criterion (a) and (b) is decided on case by case basis. Furthermore, in relation to criterion (c), a technical effect which only occurs in the individual selection (or in a range) within a larger range is indicative of this criterion has been satisfied. It is not enough, however to discover that a </w:t>
      </w:r>
      <w:proofErr w:type="spellStart"/>
      <w:r w:rsidRPr="00912C1E">
        <w:rPr>
          <w:rFonts w:ascii="Times New Roman" w:hAnsi="Times New Roman" w:cs="Times New Roman"/>
          <w:sz w:val="24"/>
          <w:szCs w:val="24"/>
        </w:rPr>
        <w:t>subrange</w:t>
      </w:r>
      <w:proofErr w:type="spellEnd"/>
      <w:r w:rsidRPr="00912C1E">
        <w:rPr>
          <w:rFonts w:ascii="Times New Roman" w:hAnsi="Times New Roman" w:cs="Times New Roman"/>
          <w:sz w:val="24"/>
          <w:szCs w:val="24"/>
        </w:rPr>
        <w:t xml:space="preserve"> within a range demonstrates a new characteristic, rather the range itself had to be new.‖ (Emphasis Supplied)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From the reading of the aforementioned observations of the learned author, it is clear that the afore noted chain of events or material facts are to be satisfied at least for the purposes of calling the invention new and </w:t>
      </w:r>
      <w:proofErr w:type="spellStart"/>
      <w:r w:rsidRPr="00912C1E">
        <w:rPr>
          <w:rFonts w:ascii="Times New Roman" w:hAnsi="Times New Roman" w:cs="Times New Roman"/>
          <w:sz w:val="24"/>
          <w:szCs w:val="24"/>
        </w:rPr>
        <w:t>non obvious</w:t>
      </w:r>
      <w:proofErr w:type="spellEnd"/>
      <w:r w:rsidRPr="00912C1E">
        <w:rPr>
          <w:rFonts w:ascii="Times New Roman" w:hAnsi="Times New Roman" w:cs="Times New Roman"/>
          <w:sz w:val="24"/>
          <w:szCs w:val="24"/>
        </w:rPr>
        <w:t xml:space="preserve">, for the purposes of challenge which has been set up against the patentee, these very chain of events are to be established by the counterclaimant conversely as the onus is upon the defendant to show that the patent is obvious in the revocation proceedings. Therefore, after analyzing the </w:t>
      </w:r>
      <w:proofErr w:type="spellStart"/>
      <w:r w:rsidRPr="00912C1E">
        <w:rPr>
          <w:rFonts w:ascii="Times New Roman" w:hAnsi="Times New Roman" w:cs="Times New Roman"/>
          <w:sz w:val="24"/>
          <w:szCs w:val="24"/>
        </w:rPr>
        <w:t>aforenoted</w:t>
      </w:r>
      <w:proofErr w:type="spellEnd"/>
      <w:r w:rsidRPr="00912C1E">
        <w:rPr>
          <w:rFonts w:ascii="Times New Roman" w:hAnsi="Times New Roman" w:cs="Times New Roman"/>
          <w:sz w:val="24"/>
          <w:szCs w:val="24"/>
        </w:rPr>
        <w:t xml:space="preserve"> events, the following material facts are essentially required to be established by the counterclaimant: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The selection of the impugned invention is taken from the examples of the known prior art.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 That the selected invention is not far removed from the known range illustrated in the example. Rather, the same is closer to the known range.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 That the selection area is not on the basis of any purpose of the inventor and is merely an arbitrary picking up the compound.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The above noted tests are some broad criterion on the basis of which, it can be tested that the whether the onus of the counterclaimant is discharged so far as it relates to revocation of the patent by establishing the material facts necessary for the same. The existence of the said events is essentially a question of the fact and shall vary from case to case basis as noted by Modern Law of Patents (supra). These factors are also inclusive and not exhaustive as there may exists some more chain of events which may prove helpful in arriving at the finding of obviousness to the person skilled in art as attending circumstances peculiar to the said case.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In the absence of the positive evidence from defendant to the effect that the selection of the range is arbitrary by </w:t>
      </w:r>
      <w:proofErr w:type="spellStart"/>
      <w:r w:rsidRPr="00912C1E">
        <w:rPr>
          <w:rFonts w:ascii="Times New Roman" w:hAnsi="Times New Roman" w:cs="Times New Roman"/>
          <w:sz w:val="24"/>
          <w:szCs w:val="24"/>
        </w:rPr>
        <w:t>non application</w:t>
      </w:r>
      <w:proofErr w:type="spellEnd"/>
      <w:r w:rsidRPr="00912C1E">
        <w:rPr>
          <w:rFonts w:ascii="Times New Roman" w:hAnsi="Times New Roman" w:cs="Times New Roman"/>
          <w:sz w:val="24"/>
          <w:szCs w:val="24"/>
        </w:rPr>
        <w:t xml:space="preserve"> of mind which is crucial factor in discerning whether the said impugned patent is obvious or not, It cannot be assumed on a priori basis that the mere fact that there exist some similarities in the structure of ranges, the replacement of the third </w:t>
      </w:r>
      <w:r w:rsidRPr="00912C1E">
        <w:rPr>
          <w:rFonts w:ascii="Times New Roman" w:hAnsi="Times New Roman" w:cs="Times New Roman"/>
          <w:sz w:val="24"/>
          <w:szCs w:val="24"/>
        </w:rPr>
        <w:lastRenderedPageBreak/>
        <w:t xml:space="preserve">position with </w:t>
      </w:r>
      <w:proofErr w:type="spellStart"/>
      <w:r w:rsidRPr="00912C1E">
        <w:rPr>
          <w:rFonts w:ascii="Times New Roman" w:hAnsi="Times New Roman" w:cs="Times New Roman"/>
          <w:sz w:val="24"/>
          <w:szCs w:val="24"/>
        </w:rPr>
        <w:t>ethynyl</w:t>
      </w:r>
      <w:proofErr w:type="spellEnd"/>
      <w:r w:rsidRPr="00912C1E">
        <w:rPr>
          <w:rFonts w:ascii="Times New Roman" w:hAnsi="Times New Roman" w:cs="Times New Roman"/>
          <w:sz w:val="24"/>
          <w:szCs w:val="24"/>
        </w:rPr>
        <w:t xml:space="preserve"> may follow and thus the said patent is obvious based on trial and error method.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view of my findings in the preceding paragraphs, I conclude that the present invention as claimed in revised claim 1 to 12 of the application number 841/DEL/1996 is;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(a) Novel over the prior art disclosure of EP 0566226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(b) Obvious and does not involve an inventive step over the prior art EP 0566226;</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(c) Not an invention within the meaning of Section 2(1</w:t>
      </w:r>
      <w:proofErr w:type="gramStart"/>
      <w:r w:rsidRPr="00912C1E">
        <w:rPr>
          <w:rFonts w:ascii="Times New Roman" w:hAnsi="Times New Roman" w:cs="Times New Roman"/>
          <w:sz w:val="24"/>
          <w:szCs w:val="24"/>
        </w:rPr>
        <w:t>)(</w:t>
      </w:r>
      <w:proofErr w:type="gramEnd"/>
      <w:r w:rsidRPr="00912C1E">
        <w:rPr>
          <w:rFonts w:ascii="Times New Roman" w:hAnsi="Times New Roman" w:cs="Times New Roman"/>
          <w:sz w:val="24"/>
          <w:szCs w:val="24"/>
        </w:rPr>
        <w:t>j) of the Patent Act 1970;</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(d) Is not patentable invention within the meaning of Section 3(d) of the Patents (Amendment) Act.‖ The said order was not challenged by the </w:t>
      </w:r>
      <w:proofErr w:type="spellStart"/>
      <w:r w:rsidRPr="00912C1E">
        <w:rPr>
          <w:rFonts w:ascii="Times New Roman" w:hAnsi="Times New Roman" w:cs="Times New Roman"/>
          <w:sz w:val="24"/>
          <w:szCs w:val="24"/>
        </w:rPr>
        <w:t>Natco</w:t>
      </w:r>
      <w:proofErr w:type="spellEnd"/>
      <w:r w:rsidRPr="00912C1E">
        <w:rPr>
          <w:rFonts w:ascii="Times New Roman" w:hAnsi="Times New Roman" w:cs="Times New Roman"/>
          <w:sz w:val="24"/>
          <w:szCs w:val="24"/>
        </w:rPr>
        <w:t>/opponent and ultimately suit patent was granted to the plaintiffs.</w:t>
      </w:r>
    </w:p>
    <w:p w:rsidR="000B26A4" w:rsidRDefault="000B26A4" w:rsidP="00912C1E">
      <w:pPr>
        <w:spacing w:after="0"/>
        <w:jc w:val="both"/>
        <w:rPr>
          <w:rFonts w:ascii="Times New Roman" w:hAnsi="Times New Roman" w:cs="Times New Roman"/>
          <w:b/>
          <w:sz w:val="24"/>
          <w:szCs w:val="24"/>
        </w:rPr>
      </w:pPr>
    </w:p>
    <w:p w:rsidR="00912C1E" w:rsidRPr="00912C1E" w:rsidRDefault="00912C1E" w:rsidP="00912C1E">
      <w:pPr>
        <w:spacing w:after="0"/>
        <w:jc w:val="both"/>
        <w:rPr>
          <w:rFonts w:ascii="Times New Roman" w:hAnsi="Times New Roman" w:cs="Times New Roman"/>
          <w:b/>
          <w:sz w:val="24"/>
          <w:szCs w:val="24"/>
        </w:rPr>
      </w:pPr>
      <w:bookmarkStart w:id="0" w:name="_GoBack"/>
      <w:bookmarkEnd w:id="0"/>
      <w:r w:rsidRPr="00912C1E">
        <w:rPr>
          <w:rFonts w:ascii="Times New Roman" w:hAnsi="Times New Roman" w:cs="Times New Roman"/>
          <w:b/>
          <w:sz w:val="24"/>
          <w:szCs w:val="24"/>
        </w:rPr>
        <w:t>Conclusion:</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 In view of the discussions done above relating to the several issues, the following conclusions can be drawn which are enumerated issue wise:</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1. Whether the manufacture, marketing and sale of ERLOCIP by defendant </w:t>
      </w:r>
      <w:proofErr w:type="gramStart"/>
      <w:r w:rsidRPr="00912C1E">
        <w:rPr>
          <w:rFonts w:ascii="Times New Roman" w:hAnsi="Times New Roman" w:cs="Times New Roman"/>
          <w:sz w:val="24"/>
          <w:szCs w:val="24"/>
        </w:rPr>
        <w:t>is</w:t>
      </w:r>
      <w:proofErr w:type="gramEnd"/>
      <w:r w:rsidRPr="00912C1E">
        <w:rPr>
          <w:rFonts w:ascii="Times New Roman" w:hAnsi="Times New Roman" w:cs="Times New Roman"/>
          <w:sz w:val="24"/>
          <w:szCs w:val="24"/>
        </w:rPr>
        <w:t xml:space="preserve"> infringing the plaintiffs' Indian Patent 196774? OPP Issue No.1 is decided in </w:t>
      </w:r>
      <w:proofErr w:type="spellStart"/>
      <w:r w:rsidRPr="00912C1E">
        <w:rPr>
          <w:rFonts w:ascii="Times New Roman" w:hAnsi="Times New Roman" w:cs="Times New Roman"/>
          <w:sz w:val="24"/>
          <w:szCs w:val="24"/>
        </w:rPr>
        <w:t>favour</w:t>
      </w:r>
      <w:proofErr w:type="spellEnd"/>
      <w:r w:rsidRPr="00912C1E">
        <w:rPr>
          <w:rFonts w:ascii="Times New Roman" w:hAnsi="Times New Roman" w:cs="Times New Roman"/>
          <w:sz w:val="24"/>
          <w:szCs w:val="24"/>
        </w:rPr>
        <w:t xml:space="preserve"> of the defendant and against the plaintiffs.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2. Whether the Indian Patent 196774 is liable to be revoked on the grounds </w:t>
      </w:r>
      <w:proofErr w:type="gramStart"/>
      <w:r w:rsidRPr="00912C1E">
        <w:rPr>
          <w:rFonts w:ascii="Times New Roman" w:hAnsi="Times New Roman" w:cs="Times New Roman"/>
          <w:sz w:val="24"/>
          <w:szCs w:val="24"/>
        </w:rPr>
        <w:t>raised</w:t>
      </w:r>
      <w:proofErr w:type="gramEnd"/>
      <w:r w:rsidRPr="00912C1E">
        <w:rPr>
          <w:rFonts w:ascii="Times New Roman" w:hAnsi="Times New Roman" w:cs="Times New Roman"/>
          <w:sz w:val="24"/>
          <w:szCs w:val="24"/>
        </w:rPr>
        <w:t xml:space="preserve"> in written statement and counter-claim of the defendant? OPD Issue No.2 is decided in </w:t>
      </w:r>
      <w:proofErr w:type="spellStart"/>
      <w:r w:rsidRPr="00912C1E">
        <w:rPr>
          <w:rFonts w:ascii="Times New Roman" w:hAnsi="Times New Roman" w:cs="Times New Roman"/>
          <w:sz w:val="24"/>
          <w:szCs w:val="24"/>
        </w:rPr>
        <w:t>favour</w:t>
      </w:r>
      <w:proofErr w:type="spellEnd"/>
      <w:r w:rsidRPr="00912C1E">
        <w:rPr>
          <w:rFonts w:ascii="Times New Roman" w:hAnsi="Times New Roman" w:cs="Times New Roman"/>
          <w:sz w:val="24"/>
          <w:szCs w:val="24"/>
        </w:rPr>
        <w:t xml:space="preserve"> of the plaintiffs and against the defendant.</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3. Whether the plaintiffs are entitled to permanent injunction as prayed for? OPP AND</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5. Relief.</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In view of the findings arrived at on issue No.1, issue Nos.3 and 5 are decided against the plaintiffs.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4. Whether defendant/counter-claimant proves that the plaintiff's subsequent US Patent 6900221, is to the effect that the compound of claim No.1 of the suit patent is a mixture of the two, Polymorph A and B Compound and need to be separated to perform and get the claimed compound for acceptable efficacy; and its effect on the plaintiff's patent? </w:t>
      </w:r>
      <w:proofErr w:type="gramStart"/>
      <w:r w:rsidRPr="00912C1E">
        <w:rPr>
          <w:rFonts w:ascii="Times New Roman" w:hAnsi="Times New Roman" w:cs="Times New Roman"/>
          <w:sz w:val="24"/>
          <w:szCs w:val="24"/>
        </w:rPr>
        <w:t>OPD/CC.</w:t>
      </w:r>
      <w:proofErr w:type="gramEnd"/>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Issue No.4 is decided in </w:t>
      </w:r>
      <w:proofErr w:type="spellStart"/>
      <w:r w:rsidRPr="00912C1E">
        <w:rPr>
          <w:rFonts w:ascii="Times New Roman" w:hAnsi="Times New Roman" w:cs="Times New Roman"/>
          <w:sz w:val="24"/>
          <w:szCs w:val="24"/>
        </w:rPr>
        <w:t>favour</w:t>
      </w:r>
      <w:proofErr w:type="spellEnd"/>
      <w:r w:rsidRPr="00912C1E">
        <w:rPr>
          <w:rFonts w:ascii="Times New Roman" w:hAnsi="Times New Roman" w:cs="Times New Roman"/>
          <w:sz w:val="24"/>
          <w:szCs w:val="24"/>
        </w:rPr>
        <w:t xml:space="preserve"> of the defendant and against the plaintiffs.</w:t>
      </w:r>
    </w:p>
    <w:p w:rsidR="00912C1E" w:rsidRPr="00912C1E" w:rsidRDefault="00912C1E" w:rsidP="00912C1E">
      <w:pPr>
        <w:spacing w:after="0"/>
        <w:jc w:val="both"/>
        <w:rPr>
          <w:rFonts w:ascii="Times New Roman" w:hAnsi="Times New Roman" w:cs="Times New Roman"/>
          <w:sz w:val="24"/>
          <w:szCs w:val="24"/>
        </w:rPr>
      </w:pPr>
      <w:r w:rsidRPr="00912C1E">
        <w:rPr>
          <w:rFonts w:ascii="Times New Roman" w:hAnsi="Times New Roman" w:cs="Times New Roman"/>
          <w:sz w:val="24"/>
          <w:szCs w:val="24"/>
        </w:rPr>
        <w:t xml:space="preserve">303. In the result, both, the suit being </w:t>
      </w:r>
      <w:proofErr w:type="gramStart"/>
      <w:r w:rsidRPr="00912C1E">
        <w:rPr>
          <w:rFonts w:ascii="Times New Roman" w:hAnsi="Times New Roman" w:cs="Times New Roman"/>
          <w:sz w:val="24"/>
          <w:szCs w:val="24"/>
        </w:rPr>
        <w:t>CS(</w:t>
      </w:r>
      <w:proofErr w:type="gramEnd"/>
      <w:r w:rsidRPr="00912C1E">
        <w:rPr>
          <w:rFonts w:ascii="Times New Roman" w:hAnsi="Times New Roman" w:cs="Times New Roman"/>
          <w:sz w:val="24"/>
          <w:szCs w:val="24"/>
        </w:rPr>
        <w:t>OS) No.89/2008 and the counter claim being C.C. No.52/2008 are dismissed. No order as to costs.</w:t>
      </w:r>
    </w:p>
    <w:p w:rsidR="00E121DD" w:rsidRPr="00912C1E" w:rsidRDefault="00E121DD" w:rsidP="00912C1E">
      <w:pPr>
        <w:spacing w:after="0"/>
        <w:rPr>
          <w:rFonts w:ascii="Times New Roman" w:hAnsi="Times New Roman" w:cs="Times New Roman"/>
          <w:sz w:val="24"/>
          <w:szCs w:val="24"/>
        </w:rPr>
      </w:pPr>
    </w:p>
    <w:sectPr w:rsidR="00E121DD" w:rsidRPr="00912C1E" w:rsidSect="00912C1E">
      <w:footerReference w:type="default" r:id="rId7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553" w:rsidRDefault="00260553" w:rsidP="00912C1E">
      <w:pPr>
        <w:spacing w:after="0" w:line="240" w:lineRule="auto"/>
      </w:pPr>
      <w:r>
        <w:separator/>
      </w:r>
    </w:p>
  </w:endnote>
  <w:endnote w:type="continuationSeparator" w:id="0">
    <w:p w:rsidR="00260553" w:rsidRDefault="00260553" w:rsidP="0091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327054"/>
      <w:docPartObj>
        <w:docPartGallery w:val="Page Numbers (Bottom of Page)"/>
        <w:docPartUnique/>
      </w:docPartObj>
    </w:sdtPr>
    <w:sdtEndPr>
      <w:rPr>
        <w:noProof/>
      </w:rPr>
    </w:sdtEndPr>
    <w:sdtContent>
      <w:p w:rsidR="00912C1E" w:rsidRDefault="00912C1E">
        <w:pPr>
          <w:pStyle w:val="Footer"/>
          <w:jc w:val="right"/>
        </w:pPr>
        <w:r>
          <w:fldChar w:fldCharType="begin"/>
        </w:r>
        <w:r>
          <w:instrText xml:space="preserve"> PAGE   \* MERGEFORMAT </w:instrText>
        </w:r>
        <w:r>
          <w:fldChar w:fldCharType="separate"/>
        </w:r>
        <w:r w:rsidR="000B26A4">
          <w:rPr>
            <w:noProof/>
          </w:rPr>
          <w:t>74</w:t>
        </w:r>
        <w:r>
          <w:rPr>
            <w:noProof/>
          </w:rPr>
          <w:fldChar w:fldCharType="end"/>
        </w:r>
      </w:p>
    </w:sdtContent>
  </w:sdt>
  <w:p w:rsidR="00912C1E" w:rsidRDefault="00912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553" w:rsidRDefault="00260553" w:rsidP="00912C1E">
      <w:pPr>
        <w:spacing w:after="0" w:line="240" w:lineRule="auto"/>
      </w:pPr>
      <w:r>
        <w:separator/>
      </w:r>
    </w:p>
  </w:footnote>
  <w:footnote w:type="continuationSeparator" w:id="0">
    <w:p w:rsidR="00260553" w:rsidRDefault="00260553" w:rsidP="00912C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4F64"/>
    <w:multiLevelType w:val="hybridMultilevel"/>
    <w:tmpl w:val="4C049E44"/>
    <w:lvl w:ilvl="0" w:tplc="38E0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1A414F"/>
    <w:multiLevelType w:val="hybridMultilevel"/>
    <w:tmpl w:val="1AA8E48C"/>
    <w:lvl w:ilvl="0" w:tplc="A1CC7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5E0A59"/>
    <w:multiLevelType w:val="hybridMultilevel"/>
    <w:tmpl w:val="7B365FE8"/>
    <w:lvl w:ilvl="0" w:tplc="121402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6B0590"/>
    <w:multiLevelType w:val="hybridMultilevel"/>
    <w:tmpl w:val="B582DCB2"/>
    <w:lvl w:ilvl="0" w:tplc="F8E06E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D376BC"/>
    <w:multiLevelType w:val="hybridMultilevel"/>
    <w:tmpl w:val="D0C6BEA6"/>
    <w:lvl w:ilvl="0" w:tplc="7908CB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912796"/>
    <w:multiLevelType w:val="hybridMultilevel"/>
    <w:tmpl w:val="58620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2811F7"/>
    <w:multiLevelType w:val="hybridMultilevel"/>
    <w:tmpl w:val="C188FA50"/>
    <w:lvl w:ilvl="0" w:tplc="A87ABC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176817"/>
    <w:multiLevelType w:val="hybridMultilevel"/>
    <w:tmpl w:val="B638FCC0"/>
    <w:lvl w:ilvl="0" w:tplc="AFCCB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FF3D3A"/>
    <w:multiLevelType w:val="hybridMultilevel"/>
    <w:tmpl w:val="DF520ABC"/>
    <w:lvl w:ilvl="0" w:tplc="2C8681C4">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F62AC6"/>
    <w:multiLevelType w:val="hybridMultilevel"/>
    <w:tmpl w:val="A628D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D24B3C"/>
    <w:multiLevelType w:val="hybridMultilevel"/>
    <w:tmpl w:val="2B108AEC"/>
    <w:lvl w:ilvl="0" w:tplc="634CD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2DF221C"/>
    <w:multiLevelType w:val="hybridMultilevel"/>
    <w:tmpl w:val="3FC4D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990CF6"/>
    <w:multiLevelType w:val="hybridMultilevel"/>
    <w:tmpl w:val="4A60A51A"/>
    <w:lvl w:ilvl="0" w:tplc="D9DE98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0"/>
  </w:num>
  <w:num w:numId="5">
    <w:abstractNumId w:val="11"/>
  </w:num>
  <w:num w:numId="6">
    <w:abstractNumId w:val="4"/>
  </w:num>
  <w:num w:numId="7">
    <w:abstractNumId w:val="7"/>
  </w:num>
  <w:num w:numId="8">
    <w:abstractNumId w:val="1"/>
  </w:num>
  <w:num w:numId="9">
    <w:abstractNumId w:val="10"/>
  </w:num>
  <w:num w:numId="10">
    <w:abstractNumId w:val="6"/>
  </w:num>
  <w:num w:numId="11">
    <w:abstractNumId w:val="9"/>
  </w:num>
  <w:num w:numId="12">
    <w:abstractNumId w:val="2"/>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C1E"/>
    <w:rsid w:val="000B26A4"/>
    <w:rsid w:val="00260553"/>
    <w:rsid w:val="00912C1E"/>
    <w:rsid w:val="00E12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C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912C1E"/>
  </w:style>
  <w:style w:type="paragraph" w:styleId="ListParagraph">
    <w:name w:val="List Paragraph"/>
    <w:basedOn w:val="Normal"/>
    <w:link w:val="ListParagraphChar"/>
    <w:uiPriority w:val="34"/>
    <w:qFormat/>
    <w:rsid w:val="00912C1E"/>
    <w:pPr>
      <w:ind w:left="720"/>
      <w:contextualSpacing/>
    </w:pPr>
  </w:style>
  <w:style w:type="character" w:styleId="Hyperlink">
    <w:name w:val="Hyperlink"/>
    <w:basedOn w:val="DefaultParagraphFont"/>
    <w:uiPriority w:val="99"/>
    <w:unhideWhenUsed/>
    <w:rsid w:val="00912C1E"/>
    <w:rPr>
      <w:color w:val="0000FF" w:themeColor="hyperlink"/>
      <w:u w:val="single"/>
    </w:rPr>
  </w:style>
  <w:style w:type="paragraph" w:styleId="Header">
    <w:name w:val="header"/>
    <w:basedOn w:val="Normal"/>
    <w:link w:val="HeaderChar"/>
    <w:uiPriority w:val="99"/>
    <w:unhideWhenUsed/>
    <w:rsid w:val="00912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C1E"/>
  </w:style>
  <w:style w:type="paragraph" w:styleId="Footer">
    <w:name w:val="footer"/>
    <w:basedOn w:val="Normal"/>
    <w:link w:val="FooterChar"/>
    <w:uiPriority w:val="99"/>
    <w:unhideWhenUsed/>
    <w:rsid w:val="00912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C1E"/>
  </w:style>
  <w:style w:type="paragraph" w:styleId="BalloonText">
    <w:name w:val="Balloon Text"/>
    <w:basedOn w:val="Normal"/>
    <w:link w:val="BalloonTextChar"/>
    <w:uiPriority w:val="99"/>
    <w:semiHidden/>
    <w:unhideWhenUsed/>
    <w:rsid w:val="00912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C1E"/>
    <w:rPr>
      <w:rFonts w:ascii="Tahoma" w:hAnsi="Tahoma" w:cs="Tahoma"/>
      <w:sz w:val="16"/>
      <w:szCs w:val="16"/>
    </w:rPr>
  </w:style>
  <w:style w:type="table" w:styleId="TableGrid">
    <w:name w:val="Table Grid"/>
    <w:basedOn w:val="TableNormal"/>
    <w:uiPriority w:val="59"/>
    <w:rsid w:val="00912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C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912C1E"/>
  </w:style>
  <w:style w:type="paragraph" w:styleId="ListParagraph">
    <w:name w:val="List Paragraph"/>
    <w:basedOn w:val="Normal"/>
    <w:link w:val="ListParagraphChar"/>
    <w:uiPriority w:val="34"/>
    <w:qFormat/>
    <w:rsid w:val="00912C1E"/>
    <w:pPr>
      <w:ind w:left="720"/>
      <w:contextualSpacing/>
    </w:pPr>
  </w:style>
  <w:style w:type="character" w:styleId="Hyperlink">
    <w:name w:val="Hyperlink"/>
    <w:basedOn w:val="DefaultParagraphFont"/>
    <w:uiPriority w:val="99"/>
    <w:unhideWhenUsed/>
    <w:rsid w:val="00912C1E"/>
    <w:rPr>
      <w:color w:val="0000FF" w:themeColor="hyperlink"/>
      <w:u w:val="single"/>
    </w:rPr>
  </w:style>
  <w:style w:type="paragraph" w:styleId="Header">
    <w:name w:val="header"/>
    <w:basedOn w:val="Normal"/>
    <w:link w:val="HeaderChar"/>
    <w:uiPriority w:val="99"/>
    <w:unhideWhenUsed/>
    <w:rsid w:val="00912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C1E"/>
  </w:style>
  <w:style w:type="paragraph" w:styleId="Footer">
    <w:name w:val="footer"/>
    <w:basedOn w:val="Normal"/>
    <w:link w:val="FooterChar"/>
    <w:uiPriority w:val="99"/>
    <w:unhideWhenUsed/>
    <w:rsid w:val="00912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C1E"/>
  </w:style>
  <w:style w:type="paragraph" w:styleId="BalloonText">
    <w:name w:val="Balloon Text"/>
    <w:basedOn w:val="Normal"/>
    <w:link w:val="BalloonTextChar"/>
    <w:uiPriority w:val="99"/>
    <w:semiHidden/>
    <w:unhideWhenUsed/>
    <w:rsid w:val="00912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C1E"/>
    <w:rPr>
      <w:rFonts w:ascii="Tahoma" w:hAnsi="Tahoma" w:cs="Tahoma"/>
      <w:sz w:val="16"/>
      <w:szCs w:val="16"/>
    </w:rPr>
  </w:style>
  <w:style w:type="table" w:styleId="TableGrid">
    <w:name w:val="Table Grid"/>
    <w:basedOn w:val="TableNormal"/>
    <w:uiPriority w:val="59"/>
    <w:rsid w:val="00912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rocess_patent" TargetMode="External"/><Relationship Id="rId18" Type="http://schemas.openxmlformats.org/officeDocument/2006/relationships/hyperlink" Target="https://en.wikipedia.org/wiki/Novartis_v._Union_of_India_%26_Others" TargetMode="External"/><Relationship Id="rId26" Type="http://schemas.openxmlformats.org/officeDocument/2006/relationships/hyperlink" Target="https://en.wikipedia.org/wiki/Polymorphism_(materials_science)" TargetMode="External"/><Relationship Id="rId39" Type="http://schemas.openxmlformats.org/officeDocument/2006/relationships/hyperlink" Target="https://en.wikipedia.org/wiki/Novartis_v._Union_of_India_%26_Others" TargetMode="External"/><Relationship Id="rId21" Type="http://schemas.openxmlformats.org/officeDocument/2006/relationships/hyperlink" Target="https://en.wikipedia.org/wiki/International_Nonproprietary_Name" TargetMode="External"/><Relationship Id="rId34" Type="http://schemas.openxmlformats.org/officeDocument/2006/relationships/hyperlink" Target="https://en.wikipedia.org/wiki/Time_(magazine)" TargetMode="External"/><Relationship Id="rId42" Type="http://schemas.openxmlformats.org/officeDocument/2006/relationships/image" Target="media/image1.png"/><Relationship Id="rId47" Type="http://schemas.openxmlformats.org/officeDocument/2006/relationships/hyperlink" Target="https://en.wikipedia.org/wiki/List_of_High_Courts_of_India" TargetMode="External"/><Relationship Id="rId50" Type="http://schemas.openxmlformats.org/officeDocument/2006/relationships/hyperlink" Target="https://en.wikipedia.org/wiki/Novartis_v._Union_of_India_%26_Others" TargetMode="External"/><Relationship Id="rId55" Type="http://schemas.openxmlformats.org/officeDocument/2006/relationships/hyperlink" Target="https://en.wikipedia.org/wiki/Bioavailability" TargetMode="External"/><Relationship Id="rId63" Type="http://schemas.openxmlformats.org/officeDocument/2006/relationships/hyperlink" Target="https://en.wikipedia.org/wiki/Novartis_v._Union_of_India_%26_Others" TargetMode="External"/><Relationship Id="rId68" Type="http://schemas.openxmlformats.org/officeDocument/2006/relationships/hyperlink" Target="http://www.invntree.com/wp-content/uploads/2015/02/Bayer-Vs-Cipla-Judgement-InvnTree.pdf"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TRIPS" TargetMode="External"/><Relationship Id="rId29" Type="http://schemas.openxmlformats.org/officeDocument/2006/relationships/hyperlink" Target="https://en.wikipedia.org/wiki/Thermodynamic_stabilit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Commonwealth" TargetMode="External"/><Relationship Id="rId24" Type="http://schemas.openxmlformats.org/officeDocument/2006/relationships/hyperlink" Target="https://en.wikipedia.org/wiki/European_Patent_Office" TargetMode="External"/><Relationship Id="rId32" Type="http://schemas.openxmlformats.org/officeDocument/2006/relationships/hyperlink" Target="https://en.wikipedia.org/wiki/Novartis_v._Union_of_India_%26_Others" TargetMode="External"/><Relationship Id="rId37" Type="http://schemas.openxmlformats.org/officeDocument/2006/relationships/hyperlink" Target="https://en.wikipedia.org/wiki/Novartis_v._Union_of_India_%26_Others" TargetMode="External"/><Relationship Id="rId40" Type="http://schemas.openxmlformats.org/officeDocument/2006/relationships/hyperlink" Target="https://en.wikipedia.org/wiki/Madras_High_Court" TargetMode="External"/><Relationship Id="rId45" Type="http://schemas.openxmlformats.org/officeDocument/2006/relationships/hyperlink" Target="https://en.wikipedia.org/wiki/Novartis_v._Union_of_India_%26_Others" TargetMode="External"/><Relationship Id="rId53" Type="http://schemas.openxmlformats.org/officeDocument/2006/relationships/hyperlink" Target="https://en.wikipedia.org/wiki/Invention" TargetMode="External"/><Relationship Id="rId58" Type="http://schemas.openxmlformats.org/officeDocument/2006/relationships/hyperlink" Target="https://en.wikipedia.org/wiki/Nature_(journal)" TargetMode="External"/><Relationship Id="rId66" Type="http://schemas.openxmlformats.org/officeDocument/2006/relationships/hyperlink" Target="https://en.wikipedia.org/wiki/Novartis_v._Union_of_India_%26_Others" TargetMode="External"/><Relationship Id="rId5" Type="http://schemas.openxmlformats.org/officeDocument/2006/relationships/webSettings" Target="webSettings.xml"/><Relationship Id="rId15" Type="http://schemas.openxmlformats.org/officeDocument/2006/relationships/hyperlink" Target="https://en.wikipedia.org/wiki/World_Trade_Organization" TargetMode="External"/><Relationship Id="rId23" Type="http://schemas.openxmlformats.org/officeDocument/2006/relationships/hyperlink" Target="https://en.wikipedia.org/wiki/USPTO" TargetMode="External"/><Relationship Id="rId28" Type="http://schemas.openxmlformats.org/officeDocument/2006/relationships/hyperlink" Target="https://en.wikipedia.org/wiki/Novartis_v._Union_of_India_%26_Others" TargetMode="External"/><Relationship Id="rId36" Type="http://schemas.openxmlformats.org/officeDocument/2006/relationships/hyperlink" Target="https://en.wikipedia.org/wiki/Novartis_v._Union_of_India_%26_Others" TargetMode="External"/><Relationship Id="rId49" Type="http://schemas.openxmlformats.org/officeDocument/2006/relationships/hyperlink" Target="https://en.wikipedia.org/wiki/T._R._Andhyarujina" TargetMode="External"/><Relationship Id="rId57" Type="http://schemas.openxmlformats.org/officeDocument/2006/relationships/hyperlink" Target="https://en.wikipedia.org/wiki/Cancer_Research_(journal)" TargetMode="External"/><Relationship Id="rId61" Type="http://schemas.openxmlformats.org/officeDocument/2006/relationships/hyperlink" Target="https://en.wikipedia.org/wiki/De_novo_review" TargetMode="External"/><Relationship Id="rId10" Type="http://schemas.openxmlformats.org/officeDocument/2006/relationships/hyperlink" Target="https://en.wikipedia.org/wiki/Indian_Patent_Office" TargetMode="External"/><Relationship Id="rId19" Type="http://schemas.openxmlformats.org/officeDocument/2006/relationships/hyperlink" Target="https://en.wikipedia.org/wiki/Novartis" TargetMode="External"/><Relationship Id="rId31" Type="http://schemas.openxmlformats.org/officeDocument/2006/relationships/hyperlink" Target="https://en.wikipedia.org/wiki/Bioavailability" TargetMode="External"/><Relationship Id="rId44" Type="http://schemas.openxmlformats.org/officeDocument/2006/relationships/hyperlink" Target="https://en.wikipedia.org/wiki/Salt_(chemistry)" TargetMode="External"/><Relationship Id="rId52" Type="http://schemas.openxmlformats.org/officeDocument/2006/relationships/hyperlink" Target="https://en.wikipedia.org/wiki/Polymorphism_(materials_science)" TargetMode="External"/><Relationship Id="rId60" Type="http://schemas.openxmlformats.org/officeDocument/2006/relationships/hyperlink" Target="https://en.wikipedia.org/wiki/Doha_Declaration" TargetMode="External"/><Relationship Id="rId65" Type="http://schemas.openxmlformats.org/officeDocument/2006/relationships/hyperlink" Target="https://en.wikipedia.org/wiki/Novartis_v._Union_of_India_%26_Others" TargetMode="External"/><Relationship Id="rId4" Type="http://schemas.openxmlformats.org/officeDocument/2006/relationships/settings" Target="settings.xml"/><Relationship Id="rId9" Type="http://schemas.openxmlformats.org/officeDocument/2006/relationships/hyperlink" Target="https://en.wikipedia.org/w/index.php?title=Indian_Patent_System&amp;action=edit&amp;redlink=1" TargetMode="External"/><Relationship Id="rId14" Type="http://schemas.openxmlformats.org/officeDocument/2006/relationships/hyperlink" Target="https://en.wikipedia.org/wiki/Pharmaceutical_industry_in_India" TargetMode="External"/><Relationship Id="rId22" Type="http://schemas.openxmlformats.org/officeDocument/2006/relationships/hyperlink" Target="https://en.wikipedia.org/wiki/World_Health_Organization" TargetMode="External"/><Relationship Id="rId27" Type="http://schemas.openxmlformats.org/officeDocument/2006/relationships/hyperlink" Target="https://en.wikipedia.org/wiki/Novartis_v._Union_of_India_%26_Others" TargetMode="External"/><Relationship Id="rId30" Type="http://schemas.openxmlformats.org/officeDocument/2006/relationships/hyperlink" Target="https://en.wikipedia.org/wiki/Amorphous" TargetMode="External"/><Relationship Id="rId35" Type="http://schemas.openxmlformats.org/officeDocument/2006/relationships/hyperlink" Target="https://en.wikipedia.org/wiki/Approved_Drug_Products_with_Therapeutic_Equivalence_Evaluations" TargetMode="External"/><Relationship Id="rId43" Type="http://schemas.openxmlformats.org/officeDocument/2006/relationships/hyperlink" Target="https://en.wikipedia.org/wiki/Free_base" TargetMode="External"/><Relationship Id="rId48" Type="http://schemas.openxmlformats.org/officeDocument/2006/relationships/hyperlink" Target="https://en.wikipedia.org/wiki/Solicitor_General_of_India" TargetMode="External"/><Relationship Id="rId56" Type="http://schemas.openxmlformats.org/officeDocument/2006/relationships/hyperlink" Target="https://en.wikipedia.org/wiki/Novartis_v._Union_of_India_%26_Others" TargetMode="External"/><Relationship Id="rId64" Type="http://schemas.openxmlformats.org/officeDocument/2006/relationships/hyperlink" Target="https://en.wikipedia.org/wiki/Novartis_v._Union_of_India_%26_Others" TargetMode="External"/><Relationship Id="rId69" Type="http://schemas.openxmlformats.org/officeDocument/2006/relationships/hyperlink" Target="https://indiankanoon.org/doc/123231822/" TargetMode="External"/><Relationship Id="rId8" Type="http://schemas.openxmlformats.org/officeDocument/2006/relationships/hyperlink" Target="https://indiankanoon.org/doc/165776436/" TargetMode="External"/><Relationship Id="rId51" Type="http://schemas.openxmlformats.org/officeDocument/2006/relationships/hyperlink" Target="https://en.wikipedia.org/wiki/Prior_art"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en.wikipedia.org/wiki/Intellectual_property" TargetMode="External"/><Relationship Id="rId17" Type="http://schemas.openxmlformats.org/officeDocument/2006/relationships/hyperlink" Target="https://en.wikipedia.org/wiki/Grandfather_clause" TargetMode="External"/><Relationship Id="rId25" Type="http://schemas.openxmlformats.org/officeDocument/2006/relationships/hyperlink" Target="https://en.wikipedia.org/wiki/Salt_(chemistry)" TargetMode="External"/><Relationship Id="rId33" Type="http://schemas.openxmlformats.org/officeDocument/2006/relationships/hyperlink" Target="https://en.wikipedia.org/wiki/Food_and_Drug_Administration" TargetMode="External"/><Relationship Id="rId38" Type="http://schemas.openxmlformats.org/officeDocument/2006/relationships/hyperlink" Target="https://en.wikipedia.org/wiki/Novartis_v._Union_of_India_%26_Others" TargetMode="External"/><Relationship Id="rId46" Type="http://schemas.openxmlformats.org/officeDocument/2006/relationships/hyperlink" Target="https://en.wikipedia.org/wiki/Indian_Constitution" TargetMode="External"/><Relationship Id="rId59" Type="http://schemas.openxmlformats.org/officeDocument/2006/relationships/hyperlink" Target="https://en.wikipedia.org/wiki/Novartis_v._Union_of_India_%26_Others" TargetMode="External"/><Relationship Id="rId67" Type="http://schemas.openxmlformats.org/officeDocument/2006/relationships/hyperlink" Target="https://www.downtoearth.org.in/blog/agriculture/was-there-a-victory-for-monsanto-in-india-s-supreme-court-on-a-patent-matter--62800" TargetMode="External"/><Relationship Id="rId20" Type="http://schemas.openxmlformats.org/officeDocument/2006/relationships/hyperlink" Target="https://en.wikipedia.org/wiki/Free_base" TargetMode="External"/><Relationship Id="rId41" Type="http://schemas.openxmlformats.org/officeDocument/2006/relationships/hyperlink" Target="https://en.wikipedia.org/wiki/File:Imatinib.svg" TargetMode="External"/><Relationship Id="rId54" Type="http://schemas.openxmlformats.org/officeDocument/2006/relationships/hyperlink" Target="https://en.wikipedia.org/wiki/Thermodynamic_stability" TargetMode="External"/><Relationship Id="rId62" Type="http://schemas.openxmlformats.org/officeDocument/2006/relationships/hyperlink" Target="https://en.wikipedia.org/wiki/Novartis_v._Union_of_India_%26_Others"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74</Pages>
  <Words>39250</Words>
  <Characters>223726</Characters>
  <Application>Microsoft Office Word</Application>
  <DocSecurity>0</DocSecurity>
  <Lines>1864</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Nalsar</dc:creator>
  <cp:lastModifiedBy>Nalsar</cp:lastModifiedBy>
  <cp:revision>1</cp:revision>
  <dcterms:created xsi:type="dcterms:W3CDTF">2020-01-31T19:48:00Z</dcterms:created>
  <dcterms:modified xsi:type="dcterms:W3CDTF">2020-01-31T20:00:00Z</dcterms:modified>
</cp:coreProperties>
</file>